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23" w:lineRule="atLeast"/>
        <w:jc w:val="center"/>
        <w:rPr>
          <w:b/>
          <w:bCs/>
          <w:color w:val="525353"/>
          <w:sz w:val="42"/>
          <w:szCs w:val="42"/>
        </w:rPr>
      </w:pPr>
      <w:r>
        <w:rPr>
          <w:b/>
          <w:bCs/>
          <w:color w:val="525353"/>
          <w:sz w:val="42"/>
          <w:szCs w:val="42"/>
          <w:bdr w:val="none" w:color="auto" w:sz="0" w:space="0"/>
        </w:rPr>
        <w:t>广西壮族自治区人民政府办公厅关于印发</w:t>
      </w:r>
      <w:r>
        <w:rPr>
          <w:b/>
          <w:bCs/>
          <w:color w:val="525353"/>
          <w:sz w:val="42"/>
          <w:szCs w:val="42"/>
          <w:bdr w:val="none" w:color="auto" w:sz="0" w:space="0"/>
        </w:rPr>
        <w:br w:type="textWrapping"/>
      </w:r>
      <w:r>
        <w:rPr>
          <w:b/>
          <w:bCs/>
          <w:color w:val="525353"/>
          <w:sz w:val="42"/>
          <w:szCs w:val="42"/>
          <w:bdr w:val="none" w:color="auto" w:sz="0" w:space="0"/>
        </w:rPr>
        <w:t>广西万亿林业产业三年行动方案 （2023—2025年）的通知</w:t>
      </w:r>
      <w:r>
        <w:rPr>
          <w:b/>
          <w:bCs/>
          <w:color w:val="525353"/>
          <w:sz w:val="42"/>
          <w:szCs w:val="42"/>
          <w:bdr w:val="none" w:color="auto" w:sz="0" w:space="0"/>
        </w:rPr>
        <w:br w:type="textWrapping"/>
      </w:r>
      <w:r>
        <w:rPr>
          <w:b/>
          <w:bCs/>
          <w:color w:val="525353"/>
          <w:sz w:val="42"/>
          <w:szCs w:val="42"/>
          <w:bdr w:val="none" w:color="auto" w:sz="0" w:space="0"/>
        </w:rPr>
        <w:t xml:space="preserve">（桂政办发〔2023〕35号） </w:t>
      </w:r>
    </w:p>
    <w:p>
      <w:pPr>
        <w:pStyle w:val="9"/>
        <w:keepNext w:val="0"/>
        <w:keepLines w:val="0"/>
        <w:widowControl/>
        <w:suppressLineNumbers w:val="0"/>
        <w:ind w:left="0" w:firstLine="0"/>
        <w:jc w:val="both"/>
      </w:pPr>
      <w:r>
        <w:t>各市、县人民政府，自治区人民政府各组成部门、各直属机构：</w:t>
      </w:r>
    </w:p>
    <w:p>
      <w:pPr>
        <w:pStyle w:val="9"/>
        <w:keepNext w:val="0"/>
        <w:keepLines w:val="0"/>
        <w:widowControl/>
        <w:suppressLineNumbers w:val="0"/>
        <w:ind w:left="0" w:firstLine="420"/>
        <w:jc w:val="both"/>
      </w:pPr>
      <w:r>
        <w:t>《广西万亿林业产业三年行动方案（2023—2025年）》已经自治区人民政府同意，现印发给你们，请认真组织实施。</w:t>
      </w:r>
    </w:p>
    <w:p>
      <w:pPr>
        <w:pStyle w:val="9"/>
        <w:keepNext w:val="0"/>
        <w:keepLines w:val="0"/>
        <w:widowControl/>
        <w:suppressLineNumbers w:val="0"/>
        <w:ind w:left="0" w:firstLine="0"/>
        <w:jc w:val="right"/>
      </w:pPr>
      <w:r>
        <w:t>2023年7月5日  </w:t>
      </w:r>
    </w:p>
    <w:p>
      <w:pPr>
        <w:pStyle w:val="9"/>
        <w:keepNext w:val="0"/>
        <w:keepLines w:val="0"/>
        <w:widowControl/>
        <w:suppressLineNumbers w:val="0"/>
        <w:ind w:left="0" w:firstLine="420"/>
        <w:jc w:val="both"/>
      </w:pPr>
      <w:r>
        <w:t>（此件公开发布）</w:t>
      </w:r>
    </w:p>
    <w:p>
      <w:pPr>
        <w:pStyle w:val="9"/>
        <w:keepNext w:val="0"/>
        <w:keepLines w:val="0"/>
        <w:widowControl/>
        <w:suppressLineNumbers w:val="0"/>
        <w:ind w:left="0" w:firstLine="420"/>
        <w:jc w:val="both"/>
      </w:pPr>
    </w:p>
    <w:p>
      <w:pPr>
        <w:pStyle w:val="9"/>
        <w:keepNext w:val="0"/>
        <w:keepLines w:val="0"/>
        <w:widowControl/>
        <w:suppressLineNumbers w:val="0"/>
        <w:ind w:left="0" w:firstLine="0"/>
        <w:jc w:val="center"/>
      </w:pPr>
      <w:r>
        <w:rPr>
          <w:rStyle w:val="12"/>
        </w:rPr>
        <w:t>广西万亿林业产业三年行动方案</w:t>
      </w:r>
    </w:p>
    <w:p>
      <w:pPr>
        <w:pStyle w:val="9"/>
        <w:keepNext w:val="0"/>
        <w:keepLines w:val="0"/>
        <w:widowControl/>
        <w:suppressLineNumbers w:val="0"/>
        <w:ind w:left="0" w:firstLine="0"/>
        <w:jc w:val="center"/>
      </w:pPr>
      <w:r>
        <w:rPr>
          <w:rStyle w:val="12"/>
        </w:rPr>
        <w:t>（2023—2025年）</w:t>
      </w:r>
    </w:p>
    <w:p>
      <w:pPr>
        <w:pStyle w:val="9"/>
        <w:keepNext w:val="0"/>
        <w:keepLines w:val="0"/>
        <w:widowControl/>
        <w:suppressLineNumbers w:val="0"/>
        <w:ind w:left="0" w:firstLine="420"/>
        <w:jc w:val="both"/>
      </w:pPr>
      <w:r>
        <w:t>为全面贯彻落实《广西壮族自治区人民政府 国家林业和草原局关于印发广西现代林业产业示范区实施方案的通知》（桂政发〔2022〕2号）、《中共广西壮族自治区委员会 广西壮族自治区人民政府关于推进新时代林业高质量发展的意见》（桂发〔2022〕9号）要求，打造万亿林业产业，助推广西经济社会高质量发展，结合广西实际，制定本方案。</w:t>
      </w:r>
    </w:p>
    <w:p>
      <w:pPr>
        <w:pStyle w:val="9"/>
        <w:keepNext w:val="0"/>
        <w:keepLines w:val="0"/>
        <w:widowControl/>
        <w:suppressLineNumbers w:val="0"/>
        <w:ind w:left="0" w:firstLine="420"/>
        <w:jc w:val="both"/>
      </w:pPr>
      <w:r>
        <w:rPr>
          <w:rStyle w:val="12"/>
        </w:rPr>
        <w:t>一、总体要求</w:t>
      </w:r>
    </w:p>
    <w:p>
      <w:pPr>
        <w:pStyle w:val="9"/>
        <w:keepNext w:val="0"/>
        <w:keepLines w:val="0"/>
        <w:widowControl/>
        <w:suppressLineNumbers w:val="0"/>
        <w:ind w:left="0" w:firstLine="420"/>
        <w:jc w:val="both"/>
      </w:pPr>
      <w:r>
        <w:rPr>
          <w:rStyle w:val="12"/>
        </w:rPr>
        <w:t>（一）指导思想。</w:t>
      </w:r>
    </w:p>
    <w:p>
      <w:pPr>
        <w:pStyle w:val="9"/>
        <w:keepNext w:val="0"/>
        <w:keepLines w:val="0"/>
        <w:widowControl/>
        <w:suppressLineNumbers w:val="0"/>
        <w:ind w:left="0" w:firstLine="420"/>
        <w:jc w:val="both"/>
      </w:pPr>
      <w:r>
        <w:t>坚持以习近平新时代中国特色社会主义思想为指导，全面贯彻落实党的二十大精神，深入贯彻落实习近平总书记对广西“五个更大”重要要求、视察广西“4·27”重要讲话和对广西工作系列重要指示精神，立足新发展阶段，完整、准确、全面贯彻新发展理念，主动服务和融入新发展格局，推进林业一二三产业融合发展，高质量建设优质林业资源富集区、现代林业产业示范区、林业改革开放促进区，切实把林业资源优势转化为产业优势，进一步做大做强林业产业，为奋力开创新时代壮美广西建设新局面贡献绿色能量。</w:t>
      </w:r>
    </w:p>
    <w:p>
      <w:pPr>
        <w:pStyle w:val="9"/>
        <w:keepNext w:val="0"/>
        <w:keepLines w:val="0"/>
        <w:widowControl/>
        <w:suppressLineNumbers w:val="0"/>
        <w:ind w:left="0" w:firstLine="420"/>
        <w:jc w:val="both"/>
      </w:pPr>
      <w:r>
        <w:rPr>
          <w:rStyle w:val="12"/>
        </w:rPr>
        <w:t>（二）发展目标。</w:t>
      </w:r>
    </w:p>
    <w:p>
      <w:pPr>
        <w:pStyle w:val="9"/>
        <w:keepNext w:val="0"/>
        <w:keepLines w:val="0"/>
        <w:widowControl/>
        <w:suppressLineNumbers w:val="0"/>
        <w:ind w:left="0" w:firstLine="420"/>
        <w:jc w:val="both"/>
      </w:pPr>
      <w:r>
        <w:t>按照“一年强基础、两年上台阶、三年大突破”的发展目标，推动产业高端化、智能化、绿色化发展，促进全产业链优化升级，坚持做优一产、做精二产、做强三产，形成产业布局合理、核心竞争力强、优势特色明显、品牌影响力大的林业产业发展格局。到2025年，力争全区林业产业总产值达13000亿元。</w:t>
      </w:r>
    </w:p>
    <w:p>
      <w:pPr>
        <w:pStyle w:val="9"/>
        <w:keepNext w:val="0"/>
        <w:keepLines w:val="0"/>
        <w:widowControl/>
        <w:suppressLineNumbers w:val="0"/>
        <w:ind w:left="0" w:firstLine="420"/>
        <w:jc w:val="both"/>
      </w:pPr>
      <w:r>
        <w:rPr>
          <w:rStyle w:val="12"/>
        </w:rPr>
        <w:t>二、重点任务</w:t>
      </w:r>
    </w:p>
    <w:p>
      <w:pPr>
        <w:pStyle w:val="9"/>
        <w:keepNext w:val="0"/>
        <w:keepLines w:val="0"/>
        <w:widowControl/>
        <w:suppressLineNumbers w:val="0"/>
        <w:ind w:left="0" w:firstLine="420"/>
        <w:jc w:val="both"/>
      </w:pPr>
      <w:r>
        <w:rPr>
          <w:rStyle w:val="12"/>
        </w:rPr>
        <w:t>（一）强化资源优势。</w:t>
      </w:r>
    </w:p>
    <w:p>
      <w:pPr>
        <w:pStyle w:val="9"/>
        <w:keepNext w:val="0"/>
        <w:keepLines w:val="0"/>
        <w:widowControl/>
        <w:suppressLineNumbers w:val="0"/>
        <w:ind w:left="0" w:firstLine="420"/>
        <w:jc w:val="both"/>
      </w:pPr>
      <w:r>
        <w:t>1．提升优质木材供给能力。深入实施国家储备林“双千”计划，加快推进林地规模化经营、树种结构调整和低产低效林改造，大力培育乡土树种、珍贵树种和中大径材，不断提高森林蓄积量和单位面积木材产量。充分依托北部湾国际门户港、西江内河港口、东兴和友谊关陆路口岸的优势，重点在桂林、防城港、钦州、贵港、玉林、来宾、崇左等市打造进口木材交易中心。到2025年，全区主要造林树种良种使用率达85%，商品用材林面积保持在12500万亩以上，累计建设国家储备林2000万亩以上，年供应可采木材6000万立方米以上，年进口木材1000万立方米以上。</w:t>
      </w:r>
      <w:r>
        <w:rPr>
          <w:rStyle w:val="12"/>
        </w:rPr>
        <w:t>（牵头单位：自治区林业局；配合单位：自治区工业和信息化厅，南宁海关，各市人民政府）</w:t>
      </w:r>
    </w:p>
    <w:p>
      <w:pPr>
        <w:pStyle w:val="9"/>
        <w:keepNext w:val="0"/>
        <w:keepLines w:val="0"/>
        <w:widowControl/>
        <w:suppressLineNumbers w:val="0"/>
        <w:ind w:left="0" w:firstLine="420"/>
        <w:jc w:val="both"/>
      </w:pPr>
      <w:r>
        <w:t>2．增强特色林产品供给。鼓励在未纳入耕地后备资源的荒山荒坡以及园地、未利用地等土地上持续推进油茶、松脂、八角、肉桂、沉香、澳洲坚果、林源药材等原料基地建设。采用良种壮苗、高效实用栽培技术和科学管理方法，不断提高单位面积产量和林分质量，实现资源定向化培育、集约化管理和可持续经营。到2025年，全区特色经济林种植规模保持在5000万亩以上，年稳定供应油茶籽100万吨以上、八角15万吨以上、肉桂150万吨以上。</w:t>
      </w:r>
      <w:r>
        <w:rPr>
          <w:rStyle w:val="12"/>
        </w:rPr>
        <w:t>（牵头单位：自治区林业局；配合单位：自治区农业农村厅、中医药局、乡村振兴局，各市人民政府）</w:t>
      </w:r>
    </w:p>
    <w:p>
      <w:pPr>
        <w:pStyle w:val="9"/>
        <w:keepNext w:val="0"/>
        <w:keepLines w:val="0"/>
        <w:widowControl/>
        <w:suppressLineNumbers w:val="0"/>
        <w:ind w:left="0" w:firstLine="420"/>
        <w:jc w:val="both"/>
      </w:pPr>
      <w:r>
        <w:rPr>
          <w:rStyle w:val="12"/>
        </w:rPr>
        <w:t>（二）做强主导产业。</w:t>
      </w:r>
    </w:p>
    <w:p>
      <w:pPr>
        <w:pStyle w:val="9"/>
        <w:keepNext w:val="0"/>
        <w:keepLines w:val="0"/>
        <w:widowControl/>
        <w:suppressLineNumbers w:val="0"/>
        <w:ind w:left="0" w:firstLine="420"/>
        <w:jc w:val="both"/>
      </w:pPr>
      <w:r>
        <w:t>3．实施家具家居产业提升工程。优化人造板供给结构，支持发展重组木、木塑复合材料、正交胶合木等新型产品，推进产品质量与国际领先标准接轨。优先发展高端家具、智能家居、全屋定制、木结构建筑以及五金布艺配套产业，延伸高端家具家居产业链，重点建设南宁、柳州、贵港、玉林、河池、来宾、崇左等市的高端家具家居产业基地以及钦州进口木材家具加工基地。到2025年，全区木材加工业（含家具家居产业）产值达4900亿元，人造板产量达7500万立方米，家具产量达6000万套。</w:t>
      </w:r>
      <w:r>
        <w:rPr>
          <w:rStyle w:val="12"/>
        </w:rPr>
        <w:t>（牵头单位：自治区工业和信息化厅、林业局；配合单位：各市人民政府）</w:t>
      </w:r>
    </w:p>
    <w:p>
      <w:pPr>
        <w:pStyle w:val="9"/>
        <w:keepNext w:val="0"/>
        <w:keepLines w:val="0"/>
        <w:widowControl/>
        <w:suppressLineNumbers w:val="0"/>
        <w:ind w:left="0" w:firstLine="420"/>
        <w:jc w:val="both"/>
      </w:pPr>
      <w:r>
        <w:t>4．实施林浆纸一体化发展工程。充分发挥广西木竹等原料纤维资源优势，推广林浆纸一体化发展模式。巩固提升造纸产业，优化纸产品结构，重点发展白度适当的文化用纸、环保型健康型高档生活用纸、高强度的高档包装用纸和纸板、高技术含量特种纸，打造包装用纸、生活用纸、纸浆模塑制品产业链，提升产业体量。到2025年，全区林浆纸产业产值达1000亿元。</w:t>
      </w:r>
      <w:r>
        <w:rPr>
          <w:rStyle w:val="12"/>
        </w:rPr>
        <w:t>（牵头单位：自治区工业和信息化厅、林业局；配合单位：南宁、梧州、北海、钦州、贵港、来宾、崇左市人民政府）</w:t>
      </w:r>
    </w:p>
    <w:p>
      <w:pPr>
        <w:pStyle w:val="9"/>
        <w:keepNext w:val="0"/>
        <w:keepLines w:val="0"/>
        <w:widowControl/>
        <w:suppressLineNumbers w:val="0"/>
        <w:ind w:left="0" w:firstLine="420"/>
        <w:jc w:val="both"/>
      </w:pPr>
      <w:r>
        <w:t>5．实施竹加工产业转型工程。大力发展竹笋绿色食品加工，配套服务柳州螺蛳粉等米粉产业发展。加快发展竹家居、竹装饰、竹工艺品、竹炭等特色优势产业。落实“以竹代塑”倡议，推动竹纤维复合材料、竹纤维异型材料、定向重组竹集成材、竹缠绕复合材料等新型竹质材料研发生产。在桂林、柳州、百色等市规划建设高标准竹加工产业园。到2025年，全区竹产业产值达100亿元。</w:t>
      </w:r>
      <w:r>
        <w:rPr>
          <w:rStyle w:val="12"/>
        </w:rPr>
        <w:t>（牵头单位：自治区工业和信息化厅、林业局；配合单位：桂林、柳州、百色等市人民政府）</w:t>
      </w:r>
    </w:p>
    <w:p>
      <w:pPr>
        <w:pStyle w:val="9"/>
        <w:keepNext w:val="0"/>
        <w:keepLines w:val="0"/>
        <w:widowControl/>
        <w:suppressLineNumbers w:val="0"/>
        <w:ind w:left="0" w:firstLine="420"/>
        <w:jc w:val="both"/>
      </w:pPr>
      <w:r>
        <w:rPr>
          <w:rStyle w:val="12"/>
        </w:rPr>
        <w:t>（三）壮大优势产业。</w:t>
      </w:r>
    </w:p>
    <w:p>
      <w:pPr>
        <w:pStyle w:val="9"/>
        <w:keepNext w:val="0"/>
        <w:keepLines w:val="0"/>
        <w:widowControl/>
        <w:suppressLineNumbers w:val="0"/>
        <w:ind w:left="0" w:firstLine="420"/>
        <w:jc w:val="both"/>
      </w:pPr>
      <w:r>
        <w:t>6．推进油茶产业延链增效。建设香花油茶等良种采穗圃，大力推广香花、岑软等系列优质高产油茶良种使用，扩大油茶高产高效林新造规模，加大低产低效林改造力度。推广“油茶＋N”复合经营模式，提高油茶经营效益。提升油茶精深加工水平，加快化妆品用油、医药用油、洗护用品、茶皂素、茶粕蛋白等油茶系列产品的研发和生产。推进油茶冷链、仓储、物流等配套设施建设，促进油茶全产业链发展。探索推动将茶油列入粮油收储范围。到2025年，全区油茶总面积达1152万亩以上，年产茶油达25.6万吨。</w:t>
      </w:r>
      <w:r>
        <w:rPr>
          <w:rStyle w:val="12"/>
        </w:rPr>
        <w:t>（牵头单位：自治区林业局；配合单位：自治区发展改革委、市场监管局，各市人民政府）</w:t>
      </w:r>
    </w:p>
    <w:p>
      <w:pPr>
        <w:pStyle w:val="9"/>
        <w:keepNext w:val="0"/>
        <w:keepLines w:val="0"/>
        <w:widowControl/>
        <w:suppressLineNumbers w:val="0"/>
        <w:ind w:left="0" w:firstLine="420"/>
        <w:jc w:val="both"/>
      </w:pPr>
      <w:r>
        <w:t>7．推进林下经济提产增效。优化调整林下经济结构，重点推广道地药材和区域特色药材、林下食用菌产业，积极培育立体复合经营新业态。推进林下经济“种植（养殖）基地＋龙头企业＋产品深加工”线上线下销售一体化发展，建设一批国家、广西林下经济示范基地及林下经济特色县域。到2025年，全区林下经济发展面积稳定在7000万亩以上，产值达1400亿元。</w:t>
      </w:r>
      <w:r>
        <w:rPr>
          <w:rStyle w:val="12"/>
        </w:rPr>
        <w:t>（牵头单位：自治区林业局；配合单位：自治区发展改革委、农业农村厅、乡村振兴局，各市人民政府）</w:t>
      </w:r>
    </w:p>
    <w:p>
      <w:pPr>
        <w:pStyle w:val="9"/>
        <w:keepNext w:val="0"/>
        <w:keepLines w:val="0"/>
        <w:widowControl/>
        <w:suppressLineNumbers w:val="0"/>
        <w:ind w:left="0" w:firstLine="420"/>
        <w:jc w:val="both"/>
      </w:pPr>
      <w:r>
        <w:t>8．推进林业生态旅游和森林康养产业扩面增效。实施森林景观改造等生态保护修复工程，加强“吃、住、行、厕”等设施建设，打造一批高品质森林人家、森林康养基地、森林生态文化旅游示范区和湿地公园，打造一批林草湿自然教育基地和科普研学旅游目的地。持续推进环绿城南宁、环西江、环粤湘、环北部湾森林旅游康养圈建设。系统谋划林草湿生态旅游精品线路，进一步开拓旅游市场，助力打造桂林世界级旅游城市。推动林业生态旅游景区景点入驻“一键游广西”平台。到2025年，林业生态旅游和森林康养产业年接待游客达2.5亿人次，产值达2500亿元。</w:t>
      </w:r>
      <w:r>
        <w:rPr>
          <w:rStyle w:val="12"/>
        </w:rPr>
        <w:t>（牵头单位：自治区文化和旅游厅、林业局；配合单位：各市人民政府）</w:t>
      </w:r>
    </w:p>
    <w:p>
      <w:pPr>
        <w:pStyle w:val="9"/>
        <w:keepNext w:val="0"/>
        <w:keepLines w:val="0"/>
        <w:widowControl/>
        <w:suppressLineNumbers w:val="0"/>
        <w:ind w:left="0" w:firstLine="420"/>
        <w:jc w:val="both"/>
      </w:pPr>
      <w:r>
        <w:rPr>
          <w:rStyle w:val="12"/>
        </w:rPr>
        <w:t>（四）培育特色产业。</w:t>
      </w:r>
    </w:p>
    <w:p>
      <w:pPr>
        <w:pStyle w:val="9"/>
        <w:keepNext w:val="0"/>
        <w:keepLines w:val="0"/>
        <w:widowControl/>
        <w:suppressLineNumbers w:val="0"/>
        <w:ind w:left="0" w:firstLine="420"/>
        <w:jc w:val="both"/>
      </w:pPr>
      <w:r>
        <w:t>9．推动花卉苗木产业集约发展。加强种质资源保护利用，加大良种选育科技创新，强化保障性苗圃建设，完善多元化苗木生产供应体系。建设南宁、桂林、北海等市的现代花卉产业园，打造广西（东盟）花卉苗木交易市场以及区域性花卉交易市场，培育桂花、茉莉花、兰花、金花茶等“桂派”花卉特色产品及罗汉松等盆景艺术产品。大力发展花卉精深加工，研发花卉食品、香精、文创等系列产品，提升产业附加值。到2025年，全区年生产造林和园林绿化苗木10亿株以上，花卉生产面积达180万亩以上，花卉苗木产业产值达500亿元。</w:t>
      </w:r>
      <w:r>
        <w:rPr>
          <w:rStyle w:val="12"/>
        </w:rPr>
        <w:t>（牵头单位：自治区林业局；配合单位：各市人民政府）</w:t>
      </w:r>
    </w:p>
    <w:p>
      <w:pPr>
        <w:pStyle w:val="9"/>
        <w:keepNext w:val="0"/>
        <w:keepLines w:val="0"/>
        <w:widowControl/>
        <w:suppressLineNumbers w:val="0"/>
        <w:ind w:left="0" w:firstLine="420"/>
        <w:jc w:val="both"/>
      </w:pPr>
      <w:r>
        <w:t>10．推动林产化工产业（含香料香精产业）跨越发展。加强原料（含香料）树种种质资源库建设，强化良种选育。打造国际一流的香料香精科技创新高地，重点发展松香、松节油、茴油、桂油、樟油、桂花精油、茉莉精油、玉兰精油等林产化工深加工产品。着力打造南宁、玉林国际香料香精集散交易中心。到2025年，全区林产化工产业（含香料香精产业）产值达300亿元。</w:t>
      </w:r>
      <w:r>
        <w:rPr>
          <w:rStyle w:val="12"/>
        </w:rPr>
        <w:t>（牵头单位：自治区工业和信息化厅、林业局；配合单位：各市人民政府）</w:t>
      </w:r>
    </w:p>
    <w:p>
      <w:pPr>
        <w:pStyle w:val="9"/>
        <w:keepNext w:val="0"/>
        <w:keepLines w:val="0"/>
        <w:widowControl/>
        <w:suppressLineNumbers w:val="0"/>
        <w:ind w:left="0" w:firstLine="420"/>
        <w:jc w:val="both"/>
      </w:pPr>
      <w:r>
        <w:t>11．推动林源生物医药产业创新发展。加快蛇病防治技术研究，支持蛇及蛇毒系列产品研发。调整优化非人灵长类实验动物养殖企业布局，提高繁殖种群质量。重点依托防城港国际医学开放试验区，建设集养殖、科研和应用于一体的非人灵长类实验动物繁育利用基地。支持建设2—3个符合良好实验室规范（GLP）的生物医药实验室，打造一批医学实验服务和第三方检测机构。建设一批金毛狗脊、蒜头果、半枫荷、地枫皮等药用野生植物人工培植、仿野生抚育示范基地和定制药园。到2025年，全区林源生物医药产业产值达300亿元。</w:t>
      </w:r>
      <w:r>
        <w:rPr>
          <w:rStyle w:val="12"/>
        </w:rPr>
        <w:t>（牵头单位：自治区林业局、中医药局；配合单位：自治区药监局，各市人民政府）</w:t>
      </w:r>
    </w:p>
    <w:p>
      <w:pPr>
        <w:pStyle w:val="9"/>
        <w:keepNext w:val="0"/>
        <w:keepLines w:val="0"/>
        <w:widowControl/>
        <w:suppressLineNumbers w:val="0"/>
        <w:ind w:left="0" w:firstLine="420"/>
        <w:jc w:val="both"/>
      </w:pPr>
      <w:r>
        <w:rPr>
          <w:rStyle w:val="12"/>
        </w:rPr>
        <w:t>（五）夯实基础支撑。</w:t>
      </w:r>
    </w:p>
    <w:p>
      <w:pPr>
        <w:pStyle w:val="9"/>
        <w:keepNext w:val="0"/>
        <w:keepLines w:val="0"/>
        <w:widowControl/>
        <w:suppressLineNumbers w:val="0"/>
        <w:ind w:left="0" w:firstLine="420"/>
        <w:jc w:val="both"/>
      </w:pPr>
      <w:r>
        <w:t>12．实施林业产业园区提升工程。在“三区三线”和国土空间规划的指导约束下，优化林业产业园区布局。做好林业产业园区规划设计，着力做强主导产业，做精做细上下游产业。全力补齐园区基础设施短板，新建一批现代林业产业园区，提升一批重点林业产业园区建设水平。发挥园区创新驱动和示范引领作用，加快区域内产业链高效整合，提高产业集中度。到2025年，全区林业产业园区达50个，其中国家林业产业示范园区10个以上，自治区级林业产业示范园区20个以上，年产值50亿—100亿元（不含100亿元）园区10个以上，年产值达100亿元园区5个以上。</w:t>
      </w:r>
      <w:r>
        <w:rPr>
          <w:rStyle w:val="12"/>
        </w:rPr>
        <w:t>（牵头单位：自治区林业局、工业和信息化厅，各市人民政府）</w:t>
      </w:r>
    </w:p>
    <w:p>
      <w:pPr>
        <w:pStyle w:val="9"/>
        <w:keepNext w:val="0"/>
        <w:keepLines w:val="0"/>
        <w:widowControl/>
        <w:suppressLineNumbers w:val="0"/>
        <w:ind w:left="0" w:firstLine="420"/>
        <w:jc w:val="both"/>
      </w:pPr>
      <w:r>
        <w:t>13．实施品牌提升工程。积极推动林业产业标准体系建设。推广绿色产品认证、生态产品认证、森林认证、有机产品认证和香港高端品质认证等产品认证制度。提高企业品牌意识，培育壮大中国八角、广西肉桂、广西沉香等知名品牌，扩大南方重点板材之都、实木家具之都、广西山茶油品牌影响力。深化国有林业企业改革发展，通过参股、控股、资产收购等多种方式兼并重组，提高企业核心竞争力。持续精准培优，积极培育上市林业企业。到2025年，培育打造林业行业国际国内知名品牌5个以上，培育百亿元级林业企业1家以上，50亿元级林业企业2家以上。</w:t>
      </w:r>
      <w:r>
        <w:rPr>
          <w:rStyle w:val="12"/>
        </w:rPr>
        <w:t>（牵头单位：自治区林业局、市场监管局；配合单位：自治区国资委，各市人民政府）</w:t>
      </w:r>
    </w:p>
    <w:p>
      <w:pPr>
        <w:pStyle w:val="9"/>
        <w:keepNext w:val="0"/>
        <w:keepLines w:val="0"/>
        <w:widowControl/>
        <w:suppressLineNumbers w:val="0"/>
        <w:ind w:left="0" w:firstLine="420"/>
        <w:jc w:val="both"/>
      </w:pPr>
      <w:r>
        <w:t>14．实施科技强林提升工程。支持在人工林领域创建自治区实验室，强化松杉桉竹等人工林、油茶等木本油料、香料香精、林业碳汇等领域科技攻关。完善科技成果转化机制，加强林业科研成果推广应用，加速林业科研成果转化为现实生产力。支持林业企业创建国家级、自治区级企业技术中心，打造林业产业人才高地。支持高等院校开设林业信息技术应用、林业智能装备应用技术、木业产品设计与制造等专业，提升职业技能培训和继续教育水平。</w:t>
      </w:r>
      <w:r>
        <w:rPr>
          <w:rStyle w:val="12"/>
        </w:rPr>
        <w:t>（牵头单位：自治区科技厅、林业局；配合单位：自治区教育厅、人力资源和社会保障厅，各市人民政府）</w:t>
      </w:r>
    </w:p>
    <w:p>
      <w:pPr>
        <w:pStyle w:val="9"/>
        <w:keepNext w:val="0"/>
        <w:keepLines w:val="0"/>
        <w:widowControl/>
        <w:suppressLineNumbers w:val="0"/>
        <w:ind w:left="0" w:firstLine="420"/>
        <w:jc w:val="both"/>
      </w:pPr>
      <w:r>
        <w:rPr>
          <w:rStyle w:val="12"/>
        </w:rPr>
        <w:t>（六）扩大开放合作。</w:t>
      </w:r>
    </w:p>
    <w:p>
      <w:pPr>
        <w:pStyle w:val="9"/>
        <w:keepNext w:val="0"/>
        <w:keepLines w:val="0"/>
        <w:widowControl/>
        <w:suppressLineNumbers w:val="0"/>
        <w:ind w:left="0" w:firstLine="420"/>
        <w:jc w:val="both"/>
      </w:pPr>
      <w:r>
        <w:t>15．打造高水平开放合作平台。聚焦林业全产业链关键环节和高端绿色家具家居、花卉苗木、香料香精等重点产业，开展精准招商引资，重点引进具有知名商标和品牌的行业头部企业入桂投资。充分发挥中国—东盟博览会平台作用，高质量筹办世界林木业大会，继续办好世界木材与木制品贸易大会、南方花卉苗木交易会、广西家具家居博览会等系列会展，支持举办广西（贵港）木材加工产业发展高峰论坛。着力构建中国—东盟林业资源全要素交易平台等综合服务平台，建设区域性林产品线上线下交易平台，建设跨境贸易原木交易中心。建设中国—东盟林业产业技术交流中心。</w:t>
      </w:r>
      <w:r>
        <w:rPr>
          <w:rStyle w:val="12"/>
        </w:rPr>
        <w:t>（牵头单位：自治区林业局、工业和信息化厅、商务厅、投资促进局，广西博览局；配合单位：各市人民政府）</w:t>
      </w:r>
    </w:p>
    <w:p>
      <w:pPr>
        <w:pStyle w:val="9"/>
        <w:keepNext w:val="0"/>
        <w:keepLines w:val="0"/>
        <w:widowControl/>
        <w:suppressLineNumbers w:val="0"/>
        <w:ind w:left="0" w:firstLine="420"/>
        <w:jc w:val="both"/>
      </w:pPr>
      <w:r>
        <w:t>16．推动数字化赋能。打造林业产业全链条、全要素、全场景数字化服务平台，加快新一代信息技术在林业产业领域的应用，提升林业产业实时监控、精准管理、远程控制和智能化生产水平。建设广西林产工业互联网平台，带动产业链上下游企业上平台、用平台，实现全区林业产业数据实时采集、汇聚、共享、共用。建设一批数字化现代特色林业产业示范区，加强林产品生产、加工、存储、运输、消费全过程追踪与管理。</w:t>
      </w:r>
      <w:r>
        <w:rPr>
          <w:rStyle w:val="12"/>
        </w:rPr>
        <w:t>（牵头单位：自治区大数据发展局、工业和信息化厅、林业局；配合单位：各市人民政府）</w:t>
      </w:r>
    </w:p>
    <w:p>
      <w:pPr>
        <w:pStyle w:val="9"/>
        <w:keepNext w:val="0"/>
        <w:keepLines w:val="0"/>
        <w:widowControl/>
        <w:suppressLineNumbers w:val="0"/>
        <w:ind w:left="0" w:firstLine="420"/>
        <w:jc w:val="both"/>
      </w:pPr>
      <w:r>
        <w:t>17．开展林业碳汇开发和交易试点。实施林草湿固碳增汇行动，开展林业碳汇资源本底调查和森林、草原、湿地等陆地生态系统固碳增汇关键技术研究。加强对林业碳汇资源开发的统筹谋划及监管，建立林业碳账户，完善森林、草原、湿地、木质林产品等林业碳库现状及动态数据库，构建典型森林生态系统碳汇计量监测核算体系。开展林业碳汇开发和交易试点，探索建立林业碳普惠机制和区域性自愿减排交易平台。鼓励社会主体参与林业碳汇项目开发建设，推进林业碳汇进入碳交易市场，创新绿色碳金融产品。</w:t>
      </w:r>
      <w:r>
        <w:rPr>
          <w:rStyle w:val="12"/>
        </w:rPr>
        <w:t>（牵头单位：自治区林业局；配合单位：自治区发展改革委、自然资源厅、生态环境厅，各市人民政府）</w:t>
      </w:r>
    </w:p>
    <w:p>
      <w:pPr>
        <w:pStyle w:val="9"/>
        <w:keepNext w:val="0"/>
        <w:keepLines w:val="0"/>
        <w:widowControl/>
        <w:suppressLineNumbers w:val="0"/>
        <w:ind w:left="0" w:firstLine="420"/>
        <w:jc w:val="both"/>
      </w:pPr>
      <w:r>
        <w:rPr>
          <w:rStyle w:val="12"/>
        </w:rPr>
        <w:t>三、保障措施</w:t>
      </w:r>
    </w:p>
    <w:p>
      <w:pPr>
        <w:pStyle w:val="9"/>
        <w:keepNext w:val="0"/>
        <w:keepLines w:val="0"/>
        <w:widowControl/>
        <w:suppressLineNumbers w:val="0"/>
        <w:ind w:left="0" w:firstLine="420"/>
        <w:jc w:val="both"/>
      </w:pPr>
      <w:r>
        <w:t>18．加强组织领导。各市人民政府、自治区各责任部门要高度重视，把打造万亿林业产业作为推动我区在绿色发展上实现更大进展的重要实践。要坚持主要负责人牵头抓、分管负责人具体抓，建立部门联动、衔接有序、密切协作的工作机制，周密部署，整合资源，不折不扣抓好落实。各级各有关部门要建立实施评估考核机制，把主要指标任务全面纳入林长制考核体系，明确职责分工，确保目标任务如期完成。万亿林业产业行动实施期间，各市人民政府、自治区各责任部门分别于每年6月20日、12月20日前将工作落实情况报送自治区林业局；自治区林业局汇总整理后，分别于当年6月30日、12月31日前将全区工作推进情况报告自治区人民政府。</w:t>
      </w:r>
      <w:r>
        <w:rPr>
          <w:rStyle w:val="12"/>
        </w:rPr>
        <w:t>（牵头单位：自治区林业局；配合单位：自治区有关部门，各市人民政府）</w:t>
      </w:r>
    </w:p>
    <w:p>
      <w:pPr>
        <w:pStyle w:val="9"/>
        <w:keepNext w:val="0"/>
        <w:keepLines w:val="0"/>
        <w:widowControl/>
        <w:suppressLineNumbers w:val="0"/>
        <w:ind w:left="0" w:firstLine="420"/>
        <w:jc w:val="both"/>
      </w:pPr>
      <w:r>
        <w:t>19．加大基础设施建设和机械化生产支持力度。支持林业产业园区基础设施建设，对符合条件的产业园区基础设施建设项目在财政基础设施建设扶持资金、自治区本级预算安排等方面给予重点倾斜，将符合条件的产业园区基础设施建设项目纳入地方政府专项债券支持范围。将具有社会公共服务属性的国有林场、国有林地、涉林产业基地对外连接道路纳入当地公路网规划，采用交通行业公路标准建设；生态旅游景区、森林康养基地、自然保护地等对外道路、供水供电、环保设施、公共交通等纳入当地相关发展规划和年度建设计划。落实农机购置与应用补贴相关政策，将属于全国农机购置与应用补贴范围的林草机械装备纳入广西农机购置补贴范围。</w:t>
      </w:r>
      <w:r>
        <w:rPr>
          <w:rStyle w:val="12"/>
        </w:rPr>
        <w:t>（牵头单位：自治区发展改革委、财政厅、交通运输厅、文化和旅游厅、林业局，各市人民政府；配合单位：自治区工业和信息化厅、农业农村厅）</w:t>
      </w:r>
    </w:p>
    <w:p>
      <w:pPr>
        <w:pStyle w:val="9"/>
        <w:keepNext w:val="0"/>
        <w:keepLines w:val="0"/>
        <w:widowControl/>
        <w:suppressLineNumbers w:val="0"/>
        <w:ind w:left="0" w:firstLine="420"/>
        <w:jc w:val="both"/>
      </w:pPr>
      <w:r>
        <w:t>20．强化财政和金融政策资金支持。统筹一般公共预算资金，积极支持高端绿色家具家居、林浆纸、油茶、林下经济和香料香精加工等林业产业项目发展。鼓励金融机构加大对林业产业的融资支持力度，提供覆盖林业全产业链、全生命周期的金融产品和服务，为林业项目提供长期限、低成本的融资资金。用好用活“桂惠贷”政策，有效降低林业企业融资成本。鼓励全区政府性融资担保机构为林业行业内的小微企业、个体工商户等提供融资担保服务，重点支持单户500万元及以下的业务，将政府性融资担保机构单户担保额1000万元以下（含1000万元）、1000万—2000万元（含2000万元）的年化担保费率（含再担保费）分别降至1%以下、1.5%以下。支持政府性融资担保机构与林权收储机构加强合作，发挥政府性融资担保机构财政金融支林、引资入林的政策职能作用。</w:t>
      </w:r>
      <w:r>
        <w:rPr>
          <w:rStyle w:val="12"/>
        </w:rPr>
        <w:t>（牵头单位：自治区财政厅、地方金融监管局、工业和信息化厅、林业局；配合单位：人民银行南宁中心支行，广西银保监局，广西证监局，广西融资担保集团，各市人民政府）</w:t>
      </w:r>
    </w:p>
    <w:p>
      <w:pPr>
        <w:pStyle w:val="9"/>
        <w:keepNext w:val="0"/>
        <w:keepLines w:val="0"/>
        <w:widowControl/>
        <w:suppressLineNumbers w:val="0"/>
        <w:ind w:left="0" w:firstLine="420"/>
        <w:jc w:val="both"/>
      </w:pPr>
      <w:r>
        <w:t>21．支持企业对接资本市场。鼓励符合条件的林业企业通过沪深北证券交易所、新三板等上市（挂牌）融资，自治区分阶段给予相应的资金奖励。支持合格投资者按照市场化方式发起设立林业产业相关的区域特色产业基金、科创基金。鼓励各级人民政府投资引导基金支持林业“双创”相关企业项目。</w:t>
      </w:r>
      <w:r>
        <w:rPr>
          <w:rStyle w:val="12"/>
        </w:rPr>
        <w:t>（牵头单位：自治区财政厅、林业局、地方金融监管局，各市人民政府；配合单位：自治区工业和信息化厅，广西证监局）</w:t>
      </w:r>
    </w:p>
    <w:p>
      <w:pPr>
        <w:pStyle w:val="9"/>
        <w:keepNext w:val="0"/>
        <w:keepLines w:val="0"/>
        <w:widowControl/>
        <w:suppressLineNumbers w:val="0"/>
        <w:ind w:left="0" w:firstLine="420"/>
        <w:jc w:val="both"/>
      </w:pPr>
      <w:r>
        <w:t>22．重点保障林业产业项目和设施用地。开通用地审批绿色通道，对列入自治区层面统筹推进重大项目、“双百双新”项目清单的林业产业项目，除商服用地、商品住宅用地应按自治区党委、自治区人民政府要求购买增减挂钩节余指标保障外，实行新增建设用地计划指标核销制，由自治区统筹保障；其他项目用地，由各市通过“增存挂钩”获得的计划指标优先保障。鼓励现有制造业企业通过提高工业用地容积率、调整用地结构的方式，增加服务型设施和经营场所，增加的建筑面积比例不超过原总建筑面积15%的，可继续按原用途使用土地，不收取土地出让金，但不得分割。</w:t>
      </w:r>
      <w:r>
        <w:rPr>
          <w:rStyle w:val="12"/>
        </w:rPr>
        <w:t>（牵头单位：自治区自然资源厅；配合单位：自治区发展改革委、文化和旅游厅、林业局，各市人民政府）</w:t>
      </w:r>
    </w:p>
    <w:p>
      <w:pPr>
        <w:pStyle w:val="9"/>
        <w:keepNext w:val="0"/>
        <w:keepLines w:val="0"/>
        <w:widowControl/>
        <w:suppressLineNumbers w:val="0"/>
        <w:ind w:left="0" w:firstLine="420"/>
        <w:jc w:val="both"/>
      </w:pPr>
      <w:r>
        <w:t>23．加强林业统计体系建设。优化林业统计指标设计，明确林业统计范围、标准和调查方式，进一步提高统计工作的科学性和可操作性。加强林业统计培训，提高统计人员业务水平。推动林业统计与信息化建设有效衔接，加强数据审核评估，确保数据真实完整。</w:t>
      </w:r>
      <w:r>
        <w:rPr>
          <w:rStyle w:val="12"/>
        </w:rPr>
        <w:t>（牵头单位：自治区林业局；配合单位：自治区统计局、工业和信息化厅、文化和旅游厅、农业农村厅，南宁海关，各市人民政府）</w:t>
      </w:r>
    </w:p>
    <w:p>
      <w:pPr>
        <w:pStyle w:val="9"/>
        <w:keepNext w:val="0"/>
        <w:keepLines w:val="0"/>
        <w:widowControl/>
        <w:suppressLineNumbers w:val="0"/>
        <w:ind w:left="0" w:firstLine="420"/>
        <w:jc w:val="both"/>
      </w:pPr>
      <w:r>
        <w:t>附件：2023—2025年全区各市林业产业产值任务表</w:t>
      </w:r>
    </w:p>
    <w:p>
      <w:pPr>
        <w:pStyle w:val="9"/>
        <w:keepNext w:val="0"/>
        <w:keepLines w:val="0"/>
        <w:widowControl/>
        <w:suppressLineNumbers w:val="0"/>
        <w:ind w:left="0" w:firstLine="420"/>
        <w:jc w:val="both"/>
      </w:pPr>
    </w:p>
    <w:p>
      <w:pPr>
        <w:pStyle w:val="9"/>
        <w:keepNext w:val="0"/>
        <w:keepLines w:val="0"/>
        <w:widowControl/>
        <w:suppressLineNumbers w:val="0"/>
        <w:ind w:left="0" w:firstLine="420"/>
        <w:jc w:val="both"/>
      </w:pPr>
      <w:r>
        <w:t>附件</w:t>
      </w:r>
    </w:p>
    <w:p>
      <w:pPr>
        <w:pStyle w:val="9"/>
        <w:keepNext w:val="0"/>
        <w:keepLines w:val="0"/>
        <w:widowControl/>
        <w:suppressLineNumbers w:val="0"/>
        <w:ind w:left="0" w:firstLine="0"/>
        <w:jc w:val="center"/>
      </w:pPr>
      <w:r>
        <w:rPr>
          <w:rStyle w:val="12"/>
        </w:rPr>
        <w:t>2023—2025年全区各市林业产业产值任务表</w:t>
      </w:r>
    </w:p>
    <w:p>
      <w:pPr>
        <w:pStyle w:val="9"/>
        <w:keepNext w:val="0"/>
        <w:keepLines w:val="0"/>
        <w:widowControl/>
        <w:suppressLineNumbers w:val="0"/>
        <w:ind w:left="0" w:firstLine="0"/>
        <w:jc w:val="right"/>
      </w:pPr>
      <w:r>
        <w:t>单位：亿元</w:t>
      </w:r>
    </w:p>
    <w:tbl>
      <w:tblPr>
        <w:tblW w:w="5000" w:type="pct"/>
        <w:tblInd w:w="0" w:type="dxa"/>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2092"/>
        <w:gridCol w:w="2114"/>
        <w:gridCol w:w="2125"/>
        <w:gridCol w:w="2125"/>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c>
          <w:tcPr>
            <w:tcW w:w="22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top"/>
          </w:tcPr>
          <w:p>
            <w:pPr>
              <w:pStyle w:val="9"/>
              <w:keepNext w:val="0"/>
              <w:keepLines w:val="0"/>
              <w:widowControl/>
              <w:suppressLineNumbers w:val="0"/>
            </w:pPr>
            <w:r>
              <w:rPr>
                <w:bdr w:val="none" w:color="auto" w:sz="0" w:space="0"/>
              </w:rPr>
              <w:t>区域</w:t>
            </w:r>
          </w:p>
        </w:tc>
        <w:tc>
          <w:tcPr>
            <w:tcW w:w="22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top"/>
          </w:tcPr>
          <w:p>
            <w:pPr>
              <w:pStyle w:val="9"/>
              <w:keepNext w:val="0"/>
              <w:keepLines w:val="0"/>
              <w:widowControl/>
              <w:suppressLineNumbers w:val="0"/>
            </w:pPr>
            <w:r>
              <w:rPr>
                <w:bdr w:val="none" w:color="auto" w:sz="0" w:space="0"/>
              </w:rPr>
              <w:t>2023年</w:t>
            </w:r>
          </w:p>
        </w:tc>
        <w:tc>
          <w:tcPr>
            <w:tcW w:w="22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top"/>
          </w:tcPr>
          <w:p>
            <w:pPr>
              <w:pStyle w:val="9"/>
              <w:keepNext w:val="0"/>
              <w:keepLines w:val="0"/>
              <w:widowControl/>
              <w:suppressLineNumbers w:val="0"/>
            </w:pPr>
            <w:r>
              <w:rPr>
                <w:bdr w:val="none" w:color="auto" w:sz="0" w:space="0"/>
              </w:rPr>
              <w:t>2024年</w:t>
            </w:r>
          </w:p>
        </w:tc>
        <w:tc>
          <w:tcPr>
            <w:tcW w:w="22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top"/>
          </w:tcPr>
          <w:p>
            <w:pPr>
              <w:pStyle w:val="9"/>
              <w:keepNext w:val="0"/>
              <w:keepLines w:val="0"/>
              <w:widowControl/>
              <w:suppressLineNumbers w:val="0"/>
            </w:pPr>
            <w:r>
              <w:rPr>
                <w:bdr w:val="none" w:color="auto" w:sz="0" w:space="0"/>
              </w:rPr>
              <w:t>2025年</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c>
          <w:tcPr>
            <w:tcW w:w="22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top"/>
          </w:tcPr>
          <w:p>
            <w:pPr>
              <w:pStyle w:val="9"/>
              <w:keepNext w:val="0"/>
              <w:keepLines w:val="0"/>
              <w:widowControl/>
              <w:suppressLineNumbers w:val="0"/>
            </w:pPr>
            <w:r>
              <w:rPr>
                <w:bdr w:val="none" w:color="auto" w:sz="0" w:space="0"/>
              </w:rPr>
              <w:t>南宁市</w:t>
            </w:r>
          </w:p>
        </w:tc>
        <w:tc>
          <w:tcPr>
            <w:tcW w:w="22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top"/>
          </w:tcPr>
          <w:p>
            <w:pPr>
              <w:pStyle w:val="9"/>
              <w:keepNext w:val="0"/>
              <w:keepLines w:val="0"/>
              <w:widowControl/>
              <w:suppressLineNumbers w:val="0"/>
            </w:pPr>
            <w:r>
              <w:rPr>
                <w:bdr w:val="none" w:color="auto" w:sz="0" w:space="0"/>
              </w:rPr>
              <w:t>1200</w:t>
            </w:r>
          </w:p>
        </w:tc>
        <w:tc>
          <w:tcPr>
            <w:tcW w:w="22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top"/>
          </w:tcPr>
          <w:p>
            <w:pPr>
              <w:pStyle w:val="9"/>
              <w:keepNext w:val="0"/>
              <w:keepLines w:val="0"/>
              <w:widowControl/>
              <w:suppressLineNumbers w:val="0"/>
            </w:pPr>
            <w:r>
              <w:rPr>
                <w:bdr w:val="none" w:color="auto" w:sz="0" w:space="0"/>
              </w:rPr>
              <w:t>1400</w:t>
            </w:r>
          </w:p>
        </w:tc>
        <w:tc>
          <w:tcPr>
            <w:tcW w:w="22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top"/>
          </w:tcPr>
          <w:p>
            <w:pPr>
              <w:pStyle w:val="9"/>
              <w:keepNext w:val="0"/>
              <w:keepLines w:val="0"/>
              <w:widowControl/>
              <w:suppressLineNumbers w:val="0"/>
            </w:pPr>
            <w:r>
              <w:rPr>
                <w:bdr w:val="none" w:color="auto" w:sz="0" w:space="0"/>
              </w:rPr>
              <w:t>1650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c>
          <w:tcPr>
            <w:tcW w:w="22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top"/>
          </w:tcPr>
          <w:p>
            <w:pPr>
              <w:pStyle w:val="9"/>
              <w:keepNext w:val="0"/>
              <w:keepLines w:val="0"/>
              <w:widowControl/>
              <w:suppressLineNumbers w:val="0"/>
            </w:pPr>
            <w:r>
              <w:rPr>
                <w:bdr w:val="none" w:color="auto" w:sz="0" w:space="0"/>
              </w:rPr>
              <w:t>柳州市</w:t>
            </w:r>
          </w:p>
        </w:tc>
        <w:tc>
          <w:tcPr>
            <w:tcW w:w="22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top"/>
          </w:tcPr>
          <w:p>
            <w:pPr>
              <w:pStyle w:val="9"/>
              <w:keepNext w:val="0"/>
              <w:keepLines w:val="0"/>
              <w:widowControl/>
              <w:suppressLineNumbers w:val="0"/>
            </w:pPr>
            <w:r>
              <w:rPr>
                <w:bdr w:val="none" w:color="auto" w:sz="0" w:space="0"/>
              </w:rPr>
              <w:t>870</w:t>
            </w:r>
          </w:p>
        </w:tc>
        <w:tc>
          <w:tcPr>
            <w:tcW w:w="22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top"/>
          </w:tcPr>
          <w:p>
            <w:pPr>
              <w:pStyle w:val="9"/>
              <w:keepNext w:val="0"/>
              <w:keepLines w:val="0"/>
              <w:widowControl/>
              <w:suppressLineNumbers w:val="0"/>
            </w:pPr>
            <w:r>
              <w:rPr>
                <w:bdr w:val="none" w:color="auto" w:sz="0" w:space="0"/>
              </w:rPr>
              <w:t>1000</w:t>
            </w:r>
          </w:p>
        </w:tc>
        <w:tc>
          <w:tcPr>
            <w:tcW w:w="22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top"/>
          </w:tcPr>
          <w:p>
            <w:pPr>
              <w:pStyle w:val="9"/>
              <w:keepNext w:val="0"/>
              <w:keepLines w:val="0"/>
              <w:widowControl/>
              <w:suppressLineNumbers w:val="0"/>
            </w:pPr>
            <w:r>
              <w:rPr>
                <w:bdr w:val="none" w:color="auto" w:sz="0" w:space="0"/>
              </w:rPr>
              <w:t>1200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c>
          <w:tcPr>
            <w:tcW w:w="22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top"/>
          </w:tcPr>
          <w:p>
            <w:pPr>
              <w:pStyle w:val="9"/>
              <w:keepNext w:val="0"/>
              <w:keepLines w:val="0"/>
              <w:widowControl/>
              <w:suppressLineNumbers w:val="0"/>
            </w:pPr>
            <w:r>
              <w:rPr>
                <w:bdr w:val="none" w:color="auto" w:sz="0" w:space="0"/>
              </w:rPr>
              <w:t>桂林市</w:t>
            </w:r>
          </w:p>
        </w:tc>
        <w:tc>
          <w:tcPr>
            <w:tcW w:w="22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top"/>
          </w:tcPr>
          <w:p>
            <w:pPr>
              <w:pStyle w:val="9"/>
              <w:keepNext w:val="0"/>
              <w:keepLines w:val="0"/>
              <w:widowControl/>
              <w:suppressLineNumbers w:val="0"/>
            </w:pPr>
            <w:r>
              <w:rPr>
                <w:bdr w:val="none" w:color="auto" w:sz="0" w:space="0"/>
              </w:rPr>
              <w:t>1150</w:t>
            </w:r>
          </w:p>
        </w:tc>
        <w:tc>
          <w:tcPr>
            <w:tcW w:w="22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top"/>
          </w:tcPr>
          <w:p>
            <w:pPr>
              <w:pStyle w:val="9"/>
              <w:keepNext w:val="0"/>
              <w:keepLines w:val="0"/>
              <w:widowControl/>
              <w:suppressLineNumbers w:val="0"/>
            </w:pPr>
            <w:r>
              <w:rPr>
                <w:bdr w:val="none" w:color="auto" w:sz="0" w:space="0"/>
              </w:rPr>
              <w:t>1330</w:t>
            </w:r>
          </w:p>
        </w:tc>
        <w:tc>
          <w:tcPr>
            <w:tcW w:w="22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top"/>
          </w:tcPr>
          <w:p>
            <w:pPr>
              <w:pStyle w:val="9"/>
              <w:keepNext w:val="0"/>
              <w:keepLines w:val="0"/>
              <w:widowControl/>
              <w:suppressLineNumbers w:val="0"/>
            </w:pPr>
            <w:r>
              <w:rPr>
                <w:bdr w:val="none" w:color="auto" w:sz="0" w:space="0"/>
              </w:rPr>
              <w:t>1600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c>
          <w:tcPr>
            <w:tcW w:w="22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top"/>
          </w:tcPr>
          <w:p>
            <w:pPr>
              <w:pStyle w:val="9"/>
              <w:keepNext w:val="0"/>
              <w:keepLines w:val="0"/>
              <w:widowControl/>
              <w:suppressLineNumbers w:val="0"/>
            </w:pPr>
            <w:r>
              <w:rPr>
                <w:bdr w:val="none" w:color="auto" w:sz="0" w:space="0"/>
              </w:rPr>
              <w:t>梧州市</w:t>
            </w:r>
          </w:p>
        </w:tc>
        <w:tc>
          <w:tcPr>
            <w:tcW w:w="22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top"/>
          </w:tcPr>
          <w:p>
            <w:pPr>
              <w:pStyle w:val="9"/>
              <w:keepNext w:val="0"/>
              <w:keepLines w:val="0"/>
              <w:widowControl/>
              <w:suppressLineNumbers w:val="0"/>
            </w:pPr>
            <w:r>
              <w:rPr>
                <w:bdr w:val="none" w:color="auto" w:sz="0" w:space="0"/>
              </w:rPr>
              <w:t>870</w:t>
            </w:r>
          </w:p>
        </w:tc>
        <w:tc>
          <w:tcPr>
            <w:tcW w:w="22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top"/>
          </w:tcPr>
          <w:p>
            <w:pPr>
              <w:pStyle w:val="9"/>
              <w:keepNext w:val="0"/>
              <w:keepLines w:val="0"/>
              <w:widowControl/>
              <w:suppressLineNumbers w:val="0"/>
            </w:pPr>
            <w:r>
              <w:rPr>
                <w:bdr w:val="none" w:color="auto" w:sz="0" w:space="0"/>
              </w:rPr>
              <w:t>1000</w:t>
            </w:r>
          </w:p>
        </w:tc>
        <w:tc>
          <w:tcPr>
            <w:tcW w:w="22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top"/>
          </w:tcPr>
          <w:p>
            <w:pPr>
              <w:pStyle w:val="9"/>
              <w:keepNext w:val="0"/>
              <w:keepLines w:val="0"/>
              <w:widowControl/>
              <w:suppressLineNumbers w:val="0"/>
            </w:pPr>
            <w:r>
              <w:rPr>
                <w:bdr w:val="none" w:color="auto" w:sz="0" w:space="0"/>
              </w:rPr>
              <w:t>1160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c>
          <w:tcPr>
            <w:tcW w:w="22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top"/>
          </w:tcPr>
          <w:p>
            <w:pPr>
              <w:pStyle w:val="9"/>
              <w:keepNext w:val="0"/>
              <w:keepLines w:val="0"/>
              <w:widowControl/>
              <w:suppressLineNumbers w:val="0"/>
            </w:pPr>
            <w:r>
              <w:rPr>
                <w:bdr w:val="none" w:color="auto" w:sz="0" w:space="0"/>
              </w:rPr>
              <w:t>北海市</w:t>
            </w:r>
          </w:p>
        </w:tc>
        <w:tc>
          <w:tcPr>
            <w:tcW w:w="22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top"/>
          </w:tcPr>
          <w:p>
            <w:pPr>
              <w:pStyle w:val="9"/>
              <w:keepNext w:val="0"/>
              <w:keepLines w:val="0"/>
              <w:widowControl/>
              <w:suppressLineNumbers w:val="0"/>
            </w:pPr>
            <w:r>
              <w:rPr>
                <w:bdr w:val="none" w:color="auto" w:sz="0" w:space="0"/>
              </w:rPr>
              <w:t>410</w:t>
            </w:r>
          </w:p>
        </w:tc>
        <w:tc>
          <w:tcPr>
            <w:tcW w:w="22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top"/>
          </w:tcPr>
          <w:p>
            <w:pPr>
              <w:pStyle w:val="9"/>
              <w:keepNext w:val="0"/>
              <w:keepLines w:val="0"/>
              <w:widowControl/>
              <w:suppressLineNumbers w:val="0"/>
            </w:pPr>
            <w:r>
              <w:rPr>
                <w:bdr w:val="none" w:color="auto" w:sz="0" w:space="0"/>
              </w:rPr>
              <w:t>500</w:t>
            </w:r>
          </w:p>
        </w:tc>
        <w:tc>
          <w:tcPr>
            <w:tcW w:w="22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top"/>
          </w:tcPr>
          <w:p>
            <w:pPr>
              <w:pStyle w:val="9"/>
              <w:keepNext w:val="0"/>
              <w:keepLines w:val="0"/>
              <w:widowControl/>
              <w:suppressLineNumbers w:val="0"/>
            </w:pPr>
            <w:r>
              <w:rPr>
                <w:bdr w:val="none" w:color="auto" w:sz="0" w:space="0"/>
              </w:rPr>
              <w:t>600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c>
          <w:tcPr>
            <w:tcW w:w="22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top"/>
          </w:tcPr>
          <w:p>
            <w:pPr>
              <w:pStyle w:val="9"/>
              <w:keepNext w:val="0"/>
              <w:keepLines w:val="0"/>
              <w:widowControl/>
              <w:suppressLineNumbers w:val="0"/>
            </w:pPr>
            <w:r>
              <w:rPr>
                <w:bdr w:val="none" w:color="auto" w:sz="0" w:space="0"/>
              </w:rPr>
              <w:t>防城港市</w:t>
            </w:r>
          </w:p>
        </w:tc>
        <w:tc>
          <w:tcPr>
            <w:tcW w:w="22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top"/>
          </w:tcPr>
          <w:p>
            <w:pPr>
              <w:pStyle w:val="9"/>
              <w:keepNext w:val="0"/>
              <w:keepLines w:val="0"/>
              <w:widowControl/>
              <w:suppressLineNumbers w:val="0"/>
            </w:pPr>
            <w:r>
              <w:rPr>
                <w:bdr w:val="none" w:color="auto" w:sz="0" w:space="0"/>
              </w:rPr>
              <w:t>350</w:t>
            </w:r>
          </w:p>
        </w:tc>
        <w:tc>
          <w:tcPr>
            <w:tcW w:w="22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top"/>
          </w:tcPr>
          <w:p>
            <w:pPr>
              <w:pStyle w:val="9"/>
              <w:keepNext w:val="0"/>
              <w:keepLines w:val="0"/>
              <w:widowControl/>
              <w:suppressLineNumbers w:val="0"/>
            </w:pPr>
            <w:r>
              <w:rPr>
                <w:bdr w:val="none" w:color="auto" w:sz="0" w:space="0"/>
              </w:rPr>
              <w:t>400</w:t>
            </w:r>
          </w:p>
        </w:tc>
        <w:tc>
          <w:tcPr>
            <w:tcW w:w="22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top"/>
          </w:tcPr>
          <w:p>
            <w:pPr>
              <w:pStyle w:val="9"/>
              <w:keepNext w:val="0"/>
              <w:keepLines w:val="0"/>
              <w:widowControl/>
              <w:suppressLineNumbers w:val="0"/>
            </w:pPr>
            <w:r>
              <w:rPr>
                <w:bdr w:val="none" w:color="auto" w:sz="0" w:space="0"/>
              </w:rPr>
              <w:t>470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c>
          <w:tcPr>
            <w:tcW w:w="22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top"/>
          </w:tcPr>
          <w:p>
            <w:pPr>
              <w:pStyle w:val="9"/>
              <w:keepNext w:val="0"/>
              <w:keepLines w:val="0"/>
              <w:widowControl/>
              <w:suppressLineNumbers w:val="0"/>
            </w:pPr>
            <w:r>
              <w:rPr>
                <w:bdr w:val="none" w:color="auto" w:sz="0" w:space="0"/>
              </w:rPr>
              <w:t>钦州市</w:t>
            </w:r>
          </w:p>
        </w:tc>
        <w:tc>
          <w:tcPr>
            <w:tcW w:w="22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top"/>
          </w:tcPr>
          <w:p>
            <w:pPr>
              <w:pStyle w:val="9"/>
              <w:keepNext w:val="0"/>
              <w:keepLines w:val="0"/>
              <w:widowControl/>
              <w:suppressLineNumbers w:val="0"/>
            </w:pPr>
            <w:r>
              <w:rPr>
                <w:bdr w:val="none" w:color="auto" w:sz="0" w:space="0"/>
              </w:rPr>
              <w:t>450</w:t>
            </w:r>
          </w:p>
        </w:tc>
        <w:tc>
          <w:tcPr>
            <w:tcW w:w="22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top"/>
          </w:tcPr>
          <w:p>
            <w:pPr>
              <w:pStyle w:val="9"/>
              <w:keepNext w:val="0"/>
              <w:keepLines w:val="0"/>
              <w:widowControl/>
              <w:suppressLineNumbers w:val="0"/>
            </w:pPr>
            <w:r>
              <w:rPr>
                <w:bdr w:val="none" w:color="auto" w:sz="0" w:space="0"/>
              </w:rPr>
              <w:t>520</w:t>
            </w:r>
          </w:p>
        </w:tc>
        <w:tc>
          <w:tcPr>
            <w:tcW w:w="22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top"/>
          </w:tcPr>
          <w:p>
            <w:pPr>
              <w:pStyle w:val="9"/>
              <w:keepNext w:val="0"/>
              <w:keepLines w:val="0"/>
              <w:widowControl/>
              <w:suppressLineNumbers w:val="0"/>
            </w:pPr>
            <w:r>
              <w:rPr>
                <w:bdr w:val="none" w:color="auto" w:sz="0" w:space="0"/>
              </w:rPr>
              <w:t>620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c>
          <w:tcPr>
            <w:tcW w:w="22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top"/>
          </w:tcPr>
          <w:p>
            <w:pPr>
              <w:pStyle w:val="9"/>
              <w:keepNext w:val="0"/>
              <w:keepLines w:val="0"/>
              <w:widowControl/>
              <w:suppressLineNumbers w:val="0"/>
            </w:pPr>
            <w:r>
              <w:rPr>
                <w:bdr w:val="none" w:color="auto" w:sz="0" w:space="0"/>
              </w:rPr>
              <w:t>贵港市</w:t>
            </w:r>
          </w:p>
        </w:tc>
        <w:tc>
          <w:tcPr>
            <w:tcW w:w="22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top"/>
          </w:tcPr>
          <w:p>
            <w:pPr>
              <w:pStyle w:val="9"/>
              <w:keepNext w:val="0"/>
              <w:keepLines w:val="0"/>
              <w:widowControl/>
              <w:suppressLineNumbers w:val="0"/>
            </w:pPr>
            <w:r>
              <w:rPr>
                <w:bdr w:val="none" w:color="auto" w:sz="0" w:space="0"/>
              </w:rPr>
              <w:t>1050</w:t>
            </w:r>
          </w:p>
        </w:tc>
        <w:tc>
          <w:tcPr>
            <w:tcW w:w="22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top"/>
          </w:tcPr>
          <w:p>
            <w:pPr>
              <w:pStyle w:val="9"/>
              <w:keepNext w:val="0"/>
              <w:keepLines w:val="0"/>
              <w:widowControl/>
              <w:suppressLineNumbers w:val="0"/>
            </w:pPr>
            <w:r>
              <w:rPr>
                <w:bdr w:val="none" w:color="auto" w:sz="0" w:space="0"/>
              </w:rPr>
              <w:t>1200</w:t>
            </w:r>
          </w:p>
        </w:tc>
        <w:tc>
          <w:tcPr>
            <w:tcW w:w="22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top"/>
          </w:tcPr>
          <w:p>
            <w:pPr>
              <w:pStyle w:val="9"/>
              <w:keepNext w:val="0"/>
              <w:keepLines w:val="0"/>
              <w:widowControl/>
              <w:suppressLineNumbers w:val="0"/>
            </w:pPr>
            <w:r>
              <w:rPr>
                <w:bdr w:val="none" w:color="auto" w:sz="0" w:space="0"/>
              </w:rPr>
              <w:t>1420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c>
          <w:tcPr>
            <w:tcW w:w="22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top"/>
          </w:tcPr>
          <w:p>
            <w:pPr>
              <w:pStyle w:val="9"/>
              <w:keepNext w:val="0"/>
              <w:keepLines w:val="0"/>
              <w:widowControl/>
              <w:suppressLineNumbers w:val="0"/>
            </w:pPr>
            <w:r>
              <w:rPr>
                <w:bdr w:val="none" w:color="auto" w:sz="0" w:space="0"/>
              </w:rPr>
              <w:t>玉林市</w:t>
            </w:r>
          </w:p>
        </w:tc>
        <w:tc>
          <w:tcPr>
            <w:tcW w:w="22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top"/>
          </w:tcPr>
          <w:p>
            <w:pPr>
              <w:pStyle w:val="9"/>
              <w:keepNext w:val="0"/>
              <w:keepLines w:val="0"/>
              <w:widowControl/>
              <w:suppressLineNumbers w:val="0"/>
            </w:pPr>
            <w:r>
              <w:rPr>
                <w:bdr w:val="none" w:color="auto" w:sz="0" w:space="0"/>
              </w:rPr>
              <w:t>800</w:t>
            </w:r>
          </w:p>
        </w:tc>
        <w:tc>
          <w:tcPr>
            <w:tcW w:w="22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top"/>
          </w:tcPr>
          <w:p>
            <w:pPr>
              <w:pStyle w:val="9"/>
              <w:keepNext w:val="0"/>
              <w:keepLines w:val="0"/>
              <w:widowControl/>
              <w:suppressLineNumbers w:val="0"/>
            </w:pPr>
            <w:r>
              <w:rPr>
                <w:bdr w:val="none" w:color="auto" w:sz="0" w:space="0"/>
              </w:rPr>
              <w:t>900</w:t>
            </w:r>
          </w:p>
        </w:tc>
        <w:tc>
          <w:tcPr>
            <w:tcW w:w="22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top"/>
          </w:tcPr>
          <w:p>
            <w:pPr>
              <w:pStyle w:val="9"/>
              <w:keepNext w:val="0"/>
              <w:keepLines w:val="0"/>
              <w:widowControl/>
              <w:suppressLineNumbers w:val="0"/>
            </w:pPr>
            <w:r>
              <w:rPr>
                <w:bdr w:val="none" w:color="auto" w:sz="0" w:space="0"/>
              </w:rPr>
              <w:t>1050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c>
          <w:tcPr>
            <w:tcW w:w="22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top"/>
          </w:tcPr>
          <w:p>
            <w:pPr>
              <w:pStyle w:val="9"/>
              <w:keepNext w:val="0"/>
              <w:keepLines w:val="0"/>
              <w:widowControl/>
              <w:suppressLineNumbers w:val="0"/>
            </w:pPr>
            <w:r>
              <w:rPr>
                <w:bdr w:val="none" w:color="auto" w:sz="0" w:space="0"/>
              </w:rPr>
              <w:t>百色市</w:t>
            </w:r>
          </w:p>
        </w:tc>
        <w:tc>
          <w:tcPr>
            <w:tcW w:w="22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top"/>
          </w:tcPr>
          <w:p>
            <w:pPr>
              <w:pStyle w:val="9"/>
              <w:keepNext w:val="0"/>
              <w:keepLines w:val="0"/>
              <w:widowControl/>
              <w:suppressLineNumbers w:val="0"/>
            </w:pPr>
            <w:r>
              <w:rPr>
                <w:bdr w:val="none" w:color="auto" w:sz="0" w:space="0"/>
              </w:rPr>
              <w:t>620</w:t>
            </w:r>
          </w:p>
        </w:tc>
        <w:tc>
          <w:tcPr>
            <w:tcW w:w="22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top"/>
          </w:tcPr>
          <w:p>
            <w:pPr>
              <w:pStyle w:val="9"/>
              <w:keepNext w:val="0"/>
              <w:keepLines w:val="0"/>
              <w:widowControl/>
              <w:suppressLineNumbers w:val="0"/>
            </w:pPr>
            <w:r>
              <w:rPr>
                <w:bdr w:val="none" w:color="auto" w:sz="0" w:space="0"/>
              </w:rPr>
              <w:t>730</w:t>
            </w:r>
          </w:p>
        </w:tc>
        <w:tc>
          <w:tcPr>
            <w:tcW w:w="22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top"/>
          </w:tcPr>
          <w:p>
            <w:pPr>
              <w:pStyle w:val="9"/>
              <w:keepNext w:val="0"/>
              <w:keepLines w:val="0"/>
              <w:widowControl/>
              <w:suppressLineNumbers w:val="0"/>
            </w:pPr>
            <w:r>
              <w:rPr>
                <w:bdr w:val="none" w:color="auto" w:sz="0" w:space="0"/>
              </w:rPr>
              <w:t>870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c>
          <w:tcPr>
            <w:tcW w:w="22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top"/>
          </w:tcPr>
          <w:p>
            <w:pPr>
              <w:pStyle w:val="9"/>
              <w:keepNext w:val="0"/>
              <w:keepLines w:val="0"/>
              <w:widowControl/>
              <w:suppressLineNumbers w:val="0"/>
            </w:pPr>
            <w:r>
              <w:rPr>
                <w:bdr w:val="none" w:color="auto" w:sz="0" w:space="0"/>
              </w:rPr>
              <w:t>贺州市</w:t>
            </w:r>
          </w:p>
        </w:tc>
        <w:tc>
          <w:tcPr>
            <w:tcW w:w="22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top"/>
          </w:tcPr>
          <w:p>
            <w:pPr>
              <w:pStyle w:val="9"/>
              <w:keepNext w:val="0"/>
              <w:keepLines w:val="0"/>
              <w:widowControl/>
              <w:suppressLineNumbers w:val="0"/>
            </w:pPr>
            <w:r>
              <w:rPr>
                <w:bdr w:val="none" w:color="auto" w:sz="0" w:space="0"/>
              </w:rPr>
              <w:t>340</w:t>
            </w:r>
          </w:p>
        </w:tc>
        <w:tc>
          <w:tcPr>
            <w:tcW w:w="22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top"/>
          </w:tcPr>
          <w:p>
            <w:pPr>
              <w:pStyle w:val="9"/>
              <w:keepNext w:val="0"/>
              <w:keepLines w:val="0"/>
              <w:widowControl/>
              <w:suppressLineNumbers w:val="0"/>
            </w:pPr>
            <w:r>
              <w:rPr>
                <w:bdr w:val="none" w:color="auto" w:sz="0" w:space="0"/>
              </w:rPr>
              <w:t>400</w:t>
            </w:r>
          </w:p>
        </w:tc>
        <w:tc>
          <w:tcPr>
            <w:tcW w:w="22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top"/>
          </w:tcPr>
          <w:p>
            <w:pPr>
              <w:pStyle w:val="9"/>
              <w:keepNext w:val="0"/>
              <w:keepLines w:val="0"/>
              <w:widowControl/>
              <w:suppressLineNumbers w:val="0"/>
            </w:pPr>
            <w:r>
              <w:rPr>
                <w:bdr w:val="none" w:color="auto" w:sz="0" w:space="0"/>
              </w:rPr>
              <w:t>460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c>
          <w:tcPr>
            <w:tcW w:w="22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top"/>
          </w:tcPr>
          <w:p>
            <w:pPr>
              <w:pStyle w:val="9"/>
              <w:keepNext w:val="0"/>
              <w:keepLines w:val="0"/>
              <w:widowControl/>
              <w:suppressLineNumbers w:val="0"/>
            </w:pPr>
            <w:r>
              <w:rPr>
                <w:bdr w:val="none" w:color="auto" w:sz="0" w:space="0"/>
              </w:rPr>
              <w:t>河池市</w:t>
            </w:r>
          </w:p>
        </w:tc>
        <w:tc>
          <w:tcPr>
            <w:tcW w:w="22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top"/>
          </w:tcPr>
          <w:p>
            <w:pPr>
              <w:pStyle w:val="9"/>
              <w:keepNext w:val="0"/>
              <w:keepLines w:val="0"/>
              <w:widowControl/>
              <w:suppressLineNumbers w:val="0"/>
            </w:pPr>
            <w:r>
              <w:rPr>
                <w:bdr w:val="none" w:color="auto" w:sz="0" w:space="0"/>
              </w:rPr>
              <w:t>450</w:t>
            </w:r>
          </w:p>
        </w:tc>
        <w:tc>
          <w:tcPr>
            <w:tcW w:w="22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top"/>
          </w:tcPr>
          <w:p>
            <w:pPr>
              <w:pStyle w:val="9"/>
              <w:keepNext w:val="0"/>
              <w:keepLines w:val="0"/>
              <w:widowControl/>
              <w:suppressLineNumbers w:val="0"/>
            </w:pPr>
            <w:r>
              <w:rPr>
                <w:bdr w:val="none" w:color="auto" w:sz="0" w:space="0"/>
              </w:rPr>
              <w:t>510</w:t>
            </w:r>
          </w:p>
        </w:tc>
        <w:tc>
          <w:tcPr>
            <w:tcW w:w="22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top"/>
          </w:tcPr>
          <w:p>
            <w:pPr>
              <w:pStyle w:val="9"/>
              <w:keepNext w:val="0"/>
              <w:keepLines w:val="0"/>
              <w:widowControl/>
              <w:suppressLineNumbers w:val="0"/>
            </w:pPr>
            <w:r>
              <w:rPr>
                <w:bdr w:val="none" w:color="auto" w:sz="0" w:space="0"/>
              </w:rPr>
              <w:t>600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c>
          <w:tcPr>
            <w:tcW w:w="22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top"/>
          </w:tcPr>
          <w:p>
            <w:pPr>
              <w:pStyle w:val="9"/>
              <w:keepNext w:val="0"/>
              <w:keepLines w:val="0"/>
              <w:widowControl/>
              <w:suppressLineNumbers w:val="0"/>
            </w:pPr>
            <w:r>
              <w:rPr>
                <w:bdr w:val="none" w:color="auto" w:sz="0" w:space="0"/>
              </w:rPr>
              <w:t>来宾市</w:t>
            </w:r>
          </w:p>
        </w:tc>
        <w:tc>
          <w:tcPr>
            <w:tcW w:w="22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top"/>
          </w:tcPr>
          <w:p>
            <w:pPr>
              <w:pStyle w:val="9"/>
              <w:keepNext w:val="0"/>
              <w:keepLines w:val="0"/>
              <w:widowControl/>
              <w:suppressLineNumbers w:val="0"/>
            </w:pPr>
            <w:r>
              <w:rPr>
                <w:bdr w:val="none" w:color="auto" w:sz="0" w:space="0"/>
              </w:rPr>
              <w:t>430</w:t>
            </w:r>
          </w:p>
        </w:tc>
        <w:tc>
          <w:tcPr>
            <w:tcW w:w="22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top"/>
          </w:tcPr>
          <w:p>
            <w:pPr>
              <w:pStyle w:val="9"/>
              <w:keepNext w:val="0"/>
              <w:keepLines w:val="0"/>
              <w:widowControl/>
              <w:suppressLineNumbers w:val="0"/>
            </w:pPr>
            <w:r>
              <w:rPr>
                <w:bdr w:val="none" w:color="auto" w:sz="0" w:space="0"/>
              </w:rPr>
              <w:t>510</w:t>
            </w:r>
          </w:p>
        </w:tc>
        <w:tc>
          <w:tcPr>
            <w:tcW w:w="22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top"/>
          </w:tcPr>
          <w:p>
            <w:pPr>
              <w:pStyle w:val="9"/>
              <w:keepNext w:val="0"/>
              <w:keepLines w:val="0"/>
              <w:widowControl/>
              <w:suppressLineNumbers w:val="0"/>
            </w:pPr>
            <w:r>
              <w:rPr>
                <w:bdr w:val="none" w:color="auto" w:sz="0" w:space="0"/>
              </w:rPr>
              <w:t>600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c>
          <w:tcPr>
            <w:tcW w:w="22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top"/>
          </w:tcPr>
          <w:p>
            <w:pPr>
              <w:pStyle w:val="9"/>
              <w:keepNext w:val="0"/>
              <w:keepLines w:val="0"/>
              <w:widowControl/>
              <w:suppressLineNumbers w:val="0"/>
            </w:pPr>
            <w:r>
              <w:rPr>
                <w:bdr w:val="none" w:color="auto" w:sz="0" w:space="0"/>
              </w:rPr>
              <w:t>崇左市</w:t>
            </w:r>
          </w:p>
        </w:tc>
        <w:tc>
          <w:tcPr>
            <w:tcW w:w="22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top"/>
          </w:tcPr>
          <w:p>
            <w:pPr>
              <w:pStyle w:val="9"/>
              <w:keepNext w:val="0"/>
              <w:keepLines w:val="0"/>
              <w:widowControl/>
              <w:suppressLineNumbers w:val="0"/>
            </w:pPr>
            <w:r>
              <w:rPr>
                <w:bdr w:val="none" w:color="auto" w:sz="0" w:space="0"/>
              </w:rPr>
              <w:t>510</w:t>
            </w:r>
          </w:p>
        </w:tc>
        <w:tc>
          <w:tcPr>
            <w:tcW w:w="22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top"/>
          </w:tcPr>
          <w:p>
            <w:pPr>
              <w:pStyle w:val="9"/>
              <w:keepNext w:val="0"/>
              <w:keepLines w:val="0"/>
              <w:widowControl/>
              <w:suppressLineNumbers w:val="0"/>
            </w:pPr>
            <w:r>
              <w:rPr>
                <w:bdr w:val="none" w:color="auto" w:sz="0" w:space="0"/>
              </w:rPr>
              <w:t>600</w:t>
            </w:r>
          </w:p>
        </w:tc>
        <w:tc>
          <w:tcPr>
            <w:tcW w:w="22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top"/>
          </w:tcPr>
          <w:p>
            <w:pPr>
              <w:pStyle w:val="9"/>
              <w:keepNext w:val="0"/>
              <w:keepLines w:val="0"/>
              <w:widowControl/>
              <w:suppressLineNumbers w:val="0"/>
            </w:pPr>
            <w:r>
              <w:rPr>
                <w:bdr w:val="none" w:color="auto" w:sz="0" w:space="0"/>
              </w:rPr>
              <w:t>700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c>
          <w:tcPr>
            <w:tcW w:w="22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top"/>
          </w:tcPr>
          <w:p>
            <w:pPr>
              <w:pStyle w:val="9"/>
              <w:keepNext w:val="0"/>
              <w:keepLines w:val="0"/>
              <w:widowControl/>
              <w:suppressLineNumbers w:val="0"/>
            </w:pPr>
            <w:r>
              <w:rPr>
                <w:bdr w:val="none" w:color="auto" w:sz="0" w:space="0"/>
              </w:rPr>
              <w:t>全  区</w:t>
            </w:r>
          </w:p>
        </w:tc>
        <w:tc>
          <w:tcPr>
            <w:tcW w:w="22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top"/>
          </w:tcPr>
          <w:p>
            <w:pPr>
              <w:pStyle w:val="9"/>
              <w:keepNext w:val="0"/>
              <w:keepLines w:val="0"/>
              <w:widowControl/>
              <w:suppressLineNumbers w:val="0"/>
            </w:pPr>
            <w:r>
              <w:rPr>
                <w:bdr w:val="none" w:color="auto" w:sz="0" w:space="0"/>
              </w:rPr>
              <w:t>9500</w:t>
            </w:r>
          </w:p>
        </w:tc>
        <w:tc>
          <w:tcPr>
            <w:tcW w:w="22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top"/>
          </w:tcPr>
          <w:p>
            <w:pPr>
              <w:pStyle w:val="9"/>
              <w:keepNext w:val="0"/>
              <w:keepLines w:val="0"/>
              <w:widowControl/>
              <w:suppressLineNumbers w:val="0"/>
            </w:pPr>
            <w:r>
              <w:rPr>
                <w:bdr w:val="none" w:color="auto" w:sz="0" w:space="0"/>
              </w:rPr>
              <w:t>11000</w:t>
            </w:r>
          </w:p>
        </w:tc>
        <w:tc>
          <w:tcPr>
            <w:tcW w:w="22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top"/>
          </w:tcPr>
          <w:p>
            <w:pPr>
              <w:pStyle w:val="9"/>
              <w:keepNext w:val="0"/>
              <w:keepLines w:val="0"/>
              <w:widowControl/>
              <w:suppressLineNumbers w:val="0"/>
            </w:pPr>
            <w:r>
              <w:rPr>
                <w:bdr w:val="none" w:color="auto" w:sz="0" w:space="0"/>
              </w:rPr>
              <w:t>13000</w:t>
            </w:r>
          </w:p>
        </w:tc>
      </w:tr>
    </w:tbl>
    <w:p>
      <w:pPr>
        <w:rPr>
          <w:sz w:val="24"/>
          <w:szCs w:val="24"/>
        </w:rPr>
      </w:pPr>
    </w:p>
    <w:sectPr>
      <w:pgSz w:w="11906" w:h="16839"/>
      <w:pgMar w:top="1440" w:right="1800" w:bottom="1440" w:left="1800" w:header="851" w:footer="992" w:gutter="0"/>
      <w:cols w:space="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web"/>
  <w:zoom w:percent="130"/>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7C6D0A"/>
    <w:rsid w:val="06D870D9"/>
    <w:rsid w:val="2DAA134E"/>
    <w:rsid w:val="7BA1739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left"/>
    </w:pPr>
    <w:rPr>
      <w:rFonts w:asciiTheme="minorEastAsia" w:hAnsiTheme="minorEastAsia" w:eastAsiaTheme="minorEastAsia" w:cstheme="minorEastAsia"/>
      <w:kern w:val="0"/>
      <w:sz w:val="24"/>
      <w:szCs w:val="24"/>
      <w:lang w:val="en-US" w:eastAsia="zh-CN" w:bidi="ar"/>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5">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6">
    <w:name w:val="heading 5"/>
    <w:basedOn w:val="1"/>
    <w:next w:val="1"/>
    <w:semiHidden/>
    <w:unhideWhenUsed/>
    <w:qFormat/>
    <w:uiPriority w:val="0"/>
    <w:pPr>
      <w:spacing w:before="0" w:beforeAutospacing="1" w:after="0" w:afterAutospacing="1"/>
      <w:jc w:val="left"/>
    </w:pPr>
    <w:rPr>
      <w:rFonts w:hint="eastAsia" w:ascii="宋体" w:hAnsi="宋体" w:eastAsia="宋体" w:cs="宋体"/>
      <w:b/>
      <w:bCs/>
      <w:kern w:val="0"/>
      <w:sz w:val="20"/>
      <w:szCs w:val="20"/>
      <w:lang w:val="en-US" w:eastAsia="zh-CN" w:bidi="ar"/>
    </w:rPr>
  </w:style>
  <w:style w:type="paragraph" w:styleId="7">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11">
    <w:name w:val="Default Paragraph Font"/>
    <w:semiHidden/>
    <w:uiPriority w:val="0"/>
  </w:style>
  <w:style w:type="table" w:default="1" w:styleId="10">
    <w:name w:val="Normal Table"/>
    <w:semiHidden/>
    <w:uiPriority w:val="0"/>
    <w:tblPr>
      <w:tblCellMar>
        <w:top w:w="0" w:type="dxa"/>
        <w:left w:w="108" w:type="dxa"/>
        <w:bottom w:w="0" w:type="dxa"/>
        <w:right w:w="108" w:type="dxa"/>
      </w:tblCellMar>
    </w:tblPr>
  </w:style>
  <w:style w:type="paragraph" w:styleId="8">
    <w:name w:val="HTML Preformatted"/>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9">
    <w:name w:val="Normal (Web)"/>
    <w:basedOn w:val="1"/>
    <w:uiPriority w:val="0"/>
    <w:pPr>
      <w:spacing w:before="0" w:beforeAutospacing="1" w:after="0" w:afterAutospacing="1"/>
      <w:ind w:left="0" w:right="0"/>
      <w:jc w:val="left"/>
    </w:pPr>
    <w:rPr>
      <w:kern w:val="0"/>
      <w:sz w:val="24"/>
      <w:lang w:val="en-US" w:eastAsia="zh-CN" w:bidi="ar"/>
    </w:rPr>
  </w:style>
  <w:style w:type="character" w:styleId="12">
    <w:name w:val="Strong"/>
    <w:basedOn w:val="11"/>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7</Pages>
  <Words>6933</Words>
  <Characters>7263</Characters>
  <TotalTime>21</TotalTime>
  <ScaleCrop>false</ScaleCrop>
  <LinksUpToDate>false</LinksUpToDate>
  <CharactersWithSpaces>7267</CharactersWithSpaces>
  <Application>WPS Office_11.1.0.14309_F1E327BC-269C-435d-A152-05C5408002CA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2023-07-13T06:09:05Z</dcterms:created>
  <dc:creator>lk</dc:creator>
  <cp:lastModifiedBy>wake  dream  stranger</cp:lastModifiedBy>
  <dcterms:modified xsi:type="dcterms:W3CDTF">2023-07-13T06:37:44Z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1CF4A7EE34BB418D97F1521B21F77B5F_13</vt:lpwstr>
  </property>
</Properties>
</file>