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cs="宋体"/>
          <w:b/>
          <w:spacing w:val="4"/>
          <w:sz w:val="36"/>
          <w:szCs w:val="36"/>
        </w:rPr>
      </w:pPr>
      <w:r>
        <w:rPr>
          <w:rFonts w:hint="eastAsia" w:ascii="宋体" w:hAnsi="宋体" w:cs="宋体"/>
          <w:b/>
          <w:spacing w:val="4"/>
          <w:sz w:val="36"/>
          <w:szCs w:val="36"/>
        </w:rPr>
        <w:t>桉树复合肥料购销合同</w:t>
      </w:r>
    </w:p>
    <w:p>
      <w:pPr>
        <w:spacing w:line="460" w:lineRule="exact"/>
        <w:rPr>
          <w:rFonts w:ascii="宋体" w:hAnsi="宋体" w:cs="宋体"/>
          <w:spacing w:val="4"/>
          <w:sz w:val="24"/>
        </w:rPr>
      </w:pPr>
    </w:p>
    <w:p>
      <w:pPr>
        <w:spacing w:line="460" w:lineRule="exact"/>
        <w:rPr>
          <w:rFonts w:ascii="宋体" w:hAnsi="宋体" w:cs="宋体"/>
          <w:spacing w:val="4"/>
          <w:sz w:val="24"/>
        </w:rPr>
      </w:pPr>
      <w:r>
        <w:rPr>
          <w:rFonts w:hint="eastAsia" w:ascii="宋体" w:hAnsi="宋体" w:cs="宋体"/>
          <w:spacing w:val="4"/>
          <w:sz w:val="24"/>
        </w:rPr>
        <w:t>甲方（需方）：广西南宁宏硕林业有限责任公司</w:t>
      </w:r>
    </w:p>
    <w:p>
      <w:pPr>
        <w:spacing w:line="460" w:lineRule="exact"/>
        <w:rPr>
          <w:rFonts w:ascii="宋体" w:hAnsi="宋体" w:cs="宋体"/>
          <w:spacing w:val="4"/>
          <w:sz w:val="24"/>
        </w:rPr>
      </w:pPr>
      <w:r>
        <w:rPr>
          <w:rFonts w:hint="eastAsia" w:ascii="宋体" w:hAnsi="宋体" w:cs="宋体"/>
          <w:spacing w:val="4"/>
          <w:sz w:val="24"/>
        </w:rPr>
        <w:t>乙方（供方）：</w:t>
      </w:r>
    </w:p>
    <w:p>
      <w:pPr>
        <w:spacing w:line="460" w:lineRule="exact"/>
        <w:rPr>
          <w:rFonts w:ascii="宋体" w:hAnsi="宋体" w:cs="宋体"/>
          <w:spacing w:val="4"/>
          <w:sz w:val="24"/>
          <w:u w:val="single"/>
        </w:rPr>
      </w:pPr>
      <w:r>
        <w:rPr>
          <w:rFonts w:hint="eastAsia" w:ascii="宋体" w:hAnsi="宋体" w:cs="宋体"/>
          <w:spacing w:val="4"/>
          <w:sz w:val="24"/>
        </w:rPr>
        <w:t xml:space="preserve">签订时间： </w:t>
      </w:r>
      <w:r>
        <w:rPr>
          <w:rFonts w:hint="eastAsia" w:ascii="宋体" w:hAnsi="宋体" w:cs="宋体"/>
          <w:color w:val="auto"/>
          <w:spacing w:val="4"/>
          <w:sz w:val="24"/>
        </w:rPr>
        <w:t>202</w:t>
      </w:r>
      <w:r>
        <w:rPr>
          <w:rFonts w:hint="eastAsia" w:ascii="宋体" w:hAnsi="宋体" w:cs="宋体"/>
          <w:color w:val="auto"/>
          <w:spacing w:val="4"/>
          <w:sz w:val="24"/>
          <w:lang w:eastAsia="zh-CN"/>
        </w:rPr>
        <w:t>3</w:t>
      </w:r>
      <w:r>
        <w:rPr>
          <w:rFonts w:hint="eastAsia" w:ascii="宋体" w:hAnsi="宋体" w:cs="宋体"/>
          <w:color w:val="auto"/>
          <w:spacing w:val="4"/>
          <w:sz w:val="24"/>
        </w:rPr>
        <w:t>年 月 日</w:t>
      </w:r>
      <w:r>
        <w:rPr>
          <w:rFonts w:hint="eastAsia" w:ascii="宋体" w:hAnsi="宋体" w:cs="宋体"/>
          <w:spacing w:val="4"/>
          <w:sz w:val="24"/>
        </w:rPr>
        <w:t xml:space="preserve">     签订地点：南宁市江南区 </w:t>
      </w:r>
    </w:p>
    <w:p>
      <w:pPr>
        <w:spacing w:line="460" w:lineRule="exact"/>
        <w:rPr>
          <w:rFonts w:ascii="宋体" w:hAnsi="宋体" w:cs="宋体"/>
          <w:spacing w:val="4"/>
          <w:sz w:val="24"/>
          <w:u w:val="single"/>
        </w:rPr>
      </w:pPr>
    </w:p>
    <w:p>
      <w:pPr>
        <w:spacing w:line="460" w:lineRule="exact"/>
        <w:ind w:firstLine="496" w:firstLineChars="200"/>
        <w:rPr>
          <w:rFonts w:ascii="宋体" w:hAnsi="宋体" w:cs="宋体"/>
          <w:spacing w:val="4"/>
          <w:sz w:val="24"/>
        </w:rPr>
      </w:pPr>
      <w:r>
        <w:rPr>
          <w:rFonts w:hint="eastAsia" w:ascii="宋体" w:hAnsi="宋体" w:cs="宋体"/>
          <w:color w:val="auto"/>
          <w:spacing w:val="4"/>
          <w:sz w:val="24"/>
        </w:rPr>
        <w:t>甲方营林需要向乙方采购桉树复合肥，</w:t>
      </w:r>
      <w:r>
        <w:rPr>
          <w:rFonts w:hint="eastAsia" w:ascii="宋体" w:hAnsi="宋体" w:cs="宋体"/>
          <w:spacing w:val="4"/>
          <w:sz w:val="24"/>
        </w:rPr>
        <w:t>经双方友好协商，签订本合同，具体条款如下：</w:t>
      </w:r>
    </w:p>
    <w:tbl>
      <w:tblPr>
        <w:tblStyle w:val="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790"/>
        <w:gridCol w:w="1470"/>
        <w:gridCol w:w="885"/>
        <w:gridCol w:w="1497"/>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93" w:type="dxa"/>
            <w:vAlign w:val="center"/>
          </w:tcPr>
          <w:p>
            <w:pPr>
              <w:spacing w:line="400" w:lineRule="exact"/>
              <w:jc w:val="center"/>
              <w:rPr>
                <w:rFonts w:ascii="宋体" w:hAnsi="宋体" w:cs="宋体"/>
                <w:b/>
                <w:szCs w:val="21"/>
              </w:rPr>
            </w:pPr>
            <w:r>
              <w:rPr>
                <w:rFonts w:hint="eastAsia" w:ascii="宋体" w:hAnsi="宋体" w:cs="宋体"/>
                <w:b/>
                <w:szCs w:val="21"/>
              </w:rPr>
              <w:t>名   称</w:t>
            </w:r>
          </w:p>
        </w:tc>
        <w:tc>
          <w:tcPr>
            <w:tcW w:w="2790" w:type="dxa"/>
            <w:vAlign w:val="center"/>
          </w:tcPr>
          <w:p>
            <w:pPr>
              <w:spacing w:line="400" w:lineRule="exact"/>
              <w:jc w:val="center"/>
              <w:rPr>
                <w:rFonts w:ascii="宋体" w:hAnsi="宋体" w:cs="宋体"/>
                <w:b/>
                <w:szCs w:val="21"/>
              </w:rPr>
            </w:pPr>
            <w:r>
              <w:rPr>
                <w:rFonts w:hint="eastAsia" w:ascii="宋体" w:hAnsi="宋体" w:cs="宋体"/>
                <w:b/>
                <w:szCs w:val="21"/>
              </w:rPr>
              <w:t>配方指标（N-P-K）</w:t>
            </w:r>
          </w:p>
        </w:tc>
        <w:tc>
          <w:tcPr>
            <w:tcW w:w="1470" w:type="dxa"/>
            <w:vAlign w:val="center"/>
          </w:tcPr>
          <w:p>
            <w:pPr>
              <w:spacing w:line="400" w:lineRule="exact"/>
              <w:ind w:left="91" w:hanging="91" w:hangingChars="43"/>
              <w:jc w:val="center"/>
              <w:rPr>
                <w:rFonts w:ascii="宋体" w:hAnsi="宋体" w:cs="宋体"/>
                <w:b/>
                <w:szCs w:val="21"/>
              </w:rPr>
            </w:pPr>
            <w:r>
              <w:rPr>
                <w:rFonts w:hint="eastAsia" w:ascii="宋体" w:hAnsi="宋体" w:cs="宋体"/>
                <w:b/>
                <w:szCs w:val="21"/>
              </w:rPr>
              <w:t>规格（kg/包）</w:t>
            </w:r>
          </w:p>
        </w:tc>
        <w:tc>
          <w:tcPr>
            <w:tcW w:w="885" w:type="dxa"/>
            <w:vAlign w:val="center"/>
          </w:tcPr>
          <w:p>
            <w:pPr>
              <w:spacing w:line="400" w:lineRule="exact"/>
              <w:jc w:val="center"/>
              <w:rPr>
                <w:rFonts w:ascii="宋体" w:hAnsi="宋体" w:cs="宋体"/>
                <w:b/>
                <w:szCs w:val="21"/>
              </w:rPr>
            </w:pPr>
            <w:r>
              <w:rPr>
                <w:rFonts w:hint="eastAsia" w:ascii="宋体" w:hAnsi="宋体" w:cs="宋体"/>
                <w:b/>
                <w:szCs w:val="21"/>
              </w:rPr>
              <w:t>数量（吨）</w:t>
            </w:r>
          </w:p>
        </w:tc>
        <w:tc>
          <w:tcPr>
            <w:tcW w:w="1497" w:type="dxa"/>
            <w:vAlign w:val="center"/>
          </w:tcPr>
          <w:p>
            <w:pPr>
              <w:spacing w:line="400" w:lineRule="exact"/>
              <w:ind w:left="91" w:leftChars="-66" w:right="-107" w:rightChars="-51" w:hanging="230" w:hangingChars="109"/>
              <w:jc w:val="center"/>
              <w:rPr>
                <w:rFonts w:ascii="宋体" w:hAnsi="宋体" w:cs="宋体"/>
                <w:b/>
                <w:szCs w:val="21"/>
              </w:rPr>
            </w:pPr>
            <w:r>
              <w:rPr>
                <w:rFonts w:hint="eastAsia" w:ascii="宋体" w:hAnsi="宋体" w:cs="宋体"/>
                <w:b/>
                <w:szCs w:val="21"/>
              </w:rPr>
              <w:t>单价（元/吨）</w:t>
            </w:r>
          </w:p>
        </w:tc>
        <w:tc>
          <w:tcPr>
            <w:tcW w:w="1230" w:type="dxa"/>
            <w:vAlign w:val="center"/>
          </w:tcPr>
          <w:p>
            <w:pPr>
              <w:spacing w:line="400" w:lineRule="exact"/>
              <w:ind w:right="-107" w:rightChars="-51"/>
              <w:jc w:val="center"/>
              <w:rPr>
                <w:rFonts w:ascii="宋体" w:hAnsi="宋体" w:cs="宋体"/>
                <w:b/>
                <w:szCs w:val="21"/>
              </w:rPr>
            </w:pPr>
            <w:r>
              <w:rPr>
                <w:rFonts w:hint="eastAsia" w:ascii="宋体" w:hAnsi="宋体" w:cs="宋体"/>
                <w:b/>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93" w:type="dxa"/>
            <w:vAlign w:val="center"/>
          </w:tcPr>
          <w:p>
            <w:pPr>
              <w:spacing w:line="400" w:lineRule="exact"/>
              <w:ind w:left="-1" w:leftChars="-66" w:right="-107" w:rightChars="-51" w:hanging="138" w:hangingChars="66"/>
              <w:jc w:val="center"/>
              <w:rPr>
                <w:rFonts w:hint="eastAsia" w:ascii="宋体" w:hAnsi="宋体" w:eastAsia="宋体" w:cs="宋体"/>
                <w:bCs/>
                <w:kern w:val="2"/>
                <w:sz w:val="21"/>
                <w:szCs w:val="21"/>
                <w:lang w:val="en-US" w:eastAsia="zh-CN" w:bidi="ar-SA"/>
              </w:rPr>
            </w:pPr>
            <w:r>
              <w:rPr>
                <w:rFonts w:hint="eastAsia" w:ascii="宋体" w:hAnsi="宋体" w:cs="宋体"/>
                <w:bCs/>
                <w:szCs w:val="21"/>
              </w:rPr>
              <w:t>桉树复</w:t>
            </w:r>
            <w:r>
              <w:rPr>
                <w:rFonts w:hint="eastAsia" w:ascii="宋体" w:hAnsi="宋体" w:cs="宋体"/>
                <w:bCs/>
                <w:szCs w:val="21"/>
                <w:lang w:eastAsia="zh-CN"/>
              </w:rPr>
              <w:t>合</w:t>
            </w:r>
            <w:r>
              <w:rPr>
                <w:rFonts w:hint="eastAsia" w:ascii="宋体" w:hAnsi="宋体" w:cs="宋体"/>
                <w:bCs/>
                <w:szCs w:val="21"/>
              </w:rPr>
              <w:t>肥料</w:t>
            </w:r>
            <w:r>
              <w:rPr>
                <w:rFonts w:hint="eastAsia" w:ascii="宋体" w:hAnsi="宋体" w:cs="宋体"/>
                <w:bCs/>
                <w:szCs w:val="21"/>
                <w:lang w:val="en-US" w:eastAsia="zh-CN"/>
              </w:rPr>
              <w:t>1</w:t>
            </w:r>
          </w:p>
        </w:tc>
        <w:tc>
          <w:tcPr>
            <w:tcW w:w="2790" w:type="dxa"/>
            <w:vAlign w:val="center"/>
          </w:tcPr>
          <w:p>
            <w:pPr>
              <w:spacing w:line="400" w:lineRule="exact"/>
              <w:ind w:right="-107" w:rightChars="-51"/>
              <w:jc w:val="center"/>
              <w:rPr>
                <w:rFonts w:hint="eastAsia" w:ascii="宋体" w:hAnsi="宋体" w:eastAsia="宋体" w:cs="宋体"/>
                <w:b/>
                <w:kern w:val="2"/>
                <w:sz w:val="21"/>
                <w:szCs w:val="21"/>
                <w:lang w:val="en-US" w:eastAsia="zh-CN" w:bidi="ar-SA"/>
              </w:rPr>
            </w:pPr>
            <w:r>
              <w:rPr>
                <w:rFonts w:hint="eastAsia" w:ascii="宋体" w:hAnsi="宋体" w:cs="宋体"/>
                <w:sz w:val="24"/>
              </w:rPr>
              <w:t>总养分≥35%（15-8-12）有机质≥</w:t>
            </w:r>
            <w:r>
              <w:rPr>
                <w:rFonts w:hint="eastAsia" w:ascii="宋体" w:hAnsi="宋体" w:cs="宋体"/>
                <w:sz w:val="24"/>
                <w:lang w:val="en-US" w:eastAsia="zh-CN"/>
              </w:rPr>
              <w:t>8</w:t>
            </w:r>
            <w:r>
              <w:rPr>
                <w:rFonts w:hint="eastAsia" w:ascii="宋体" w:hAnsi="宋体" w:cs="宋体"/>
                <w:sz w:val="24"/>
              </w:rPr>
              <w:t>%</w:t>
            </w:r>
          </w:p>
        </w:tc>
        <w:tc>
          <w:tcPr>
            <w:tcW w:w="1470" w:type="dxa"/>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cs="宋体"/>
                <w:bCs/>
                <w:szCs w:val="21"/>
              </w:rPr>
              <w:t>25</w:t>
            </w:r>
          </w:p>
        </w:tc>
        <w:tc>
          <w:tcPr>
            <w:tcW w:w="885" w:type="dxa"/>
            <w:vAlign w:val="center"/>
          </w:tcPr>
          <w:p>
            <w:pPr>
              <w:spacing w:line="400" w:lineRule="exact"/>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lang w:eastAsia="zh-CN"/>
              </w:rPr>
              <w:t>8</w:t>
            </w:r>
            <w:r>
              <w:rPr>
                <w:rFonts w:hint="eastAsia" w:ascii="宋体" w:hAnsi="宋体" w:cs="宋体"/>
                <w:bCs/>
                <w:color w:val="auto"/>
                <w:szCs w:val="21"/>
                <w:lang w:val="en-US" w:eastAsia="zh-CN"/>
              </w:rPr>
              <w:t>2</w:t>
            </w:r>
          </w:p>
        </w:tc>
        <w:tc>
          <w:tcPr>
            <w:tcW w:w="1497" w:type="dxa"/>
            <w:vAlign w:val="center"/>
          </w:tcPr>
          <w:p>
            <w:pPr>
              <w:spacing w:line="400" w:lineRule="exact"/>
              <w:jc w:val="center"/>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32</w:t>
            </w:r>
            <w:r>
              <w:rPr>
                <w:rFonts w:hint="eastAsia" w:ascii="宋体" w:hAnsi="宋体" w:cs="宋体"/>
                <w:bCs/>
                <w:color w:val="auto"/>
                <w:szCs w:val="21"/>
                <w:lang w:val="en-US" w:eastAsia="zh-CN"/>
              </w:rPr>
              <w:t>0</w:t>
            </w:r>
            <w:r>
              <w:rPr>
                <w:rFonts w:hint="eastAsia" w:ascii="宋体" w:hAnsi="宋体" w:cs="宋体"/>
                <w:bCs/>
                <w:color w:val="auto"/>
                <w:szCs w:val="21"/>
              </w:rPr>
              <w:t>0</w:t>
            </w:r>
          </w:p>
        </w:tc>
        <w:tc>
          <w:tcPr>
            <w:tcW w:w="1230" w:type="dxa"/>
            <w:vAlign w:val="center"/>
          </w:tcPr>
          <w:p>
            <w:pPr>
              <w:spacing w:line="40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93" w:type="dxa"/>
            <w:vAlign w:val="center"/>
          </w:tcPr>
          <w:p>
            <w:pPr>
              <w:spacing w:line="400" w:lineRule="exact"/>
              <w:ind w:leftChars="-66" w:right="-107" w:rightChars="-51" w:hanging="138" w:hangingChars="66"/>
              <w:jc w:val="center"/>
              <w:rPr>
                <w:rFonts w:hint="eastAsia" w:ascii="宋体" w:hAnsi="宋体" w:eastAsia="宋体" w:cs="宋体"/>
                <w:bCs/>
                <w:szCs w:val="21"/>
                <w:lang w:val="en-US" w:eastAsia="zh-CN"/>
              </w:rPr>
            </w:pPr>
            <w:r>
              <w:rPr>
                <w:rFonts w:hint="eastAsia" w:ascii="宋体" w:hAnsi="宋体" w:cs="宋体"/>
                <w:bCs/>
                <w:szCs w:val="21"/>
              </w:rPr>
              <w:t>桉树复</w:t>
            </w:r>
            <w:r>
              <w:rPr>
                <w:rFonts w:hint="eastAsia" w:ascii="宋体" w:hAnsi="宋体" w:cs="宋体"/>
                <w:bCs/>
                <w:szCs w:val="21"/>
                <w:lang w:eastAsia="zh-CN"/>
              </w:rPr>
              <w:t>合</w:t>
            </w:r>
            <w:r>
              <w:rPr>
                <w:rFonts w:hint="eastAsia" w:ascii="宋体" w:hAnsi="宋体" w:cs="宋体"/>
                <w:bCs/>
                <w:szCs w:val="21"/>
              </w:rPr>
              <w:t>肥料</w:t>
            </w:r>
            <w:r>
              <w:rPr>
                <w:rFonts w:hint="eastAsia" w:ascii="宋体" w:hAnsi="宋体" w:cs="宋体"/>
                <w:bCs/>
                <w:szCs w:val="21"/>
                <w:lang w:val="en-US" w:eastAsia="zh-CN"/>
              </w:rPr>
              <w:t>2</w:t>
            </w:r>
          </w:p>
        </w:tc>
        <w:tc>
          <w:tcPr>
            <w:tcW w:w="2790" w:type="dxa"/>
            <w:vAlign w:val="center"/>
          </w:tcPr>
          <w:p>
            <w:pPr>
              <w:spacing w:line="400" w:lineRule="exact"/>
              <w:ind w:right="-107" w:rightChars="-51"/>
              <w:jc w:val="center"/>
              <w:rPr>
                <w:rFonts w:ascii="宋体" w:hAnsi="宋体" w:cs="宋体"/>
                <w:b/>
                <w:szCs w:val="21"/>
              </w:rPr>
            </w:pPr>
            <w:r>
              <w:rPr>
                <w:rFonts w:hint="eastAsia" w:ascii="宋体" w:hAnsi="宋体" w:cs="宋体"/>
                <w:sz w:val="24"/>
              </w:rPr>
              <w:t>总养分≥30%（15-6-9</w:t>
            </w:r>
            <w:r>
              <w:rPr>
                <w:rFonts w:hint="eastAsia" w:ascii="宋体" w:hAnsi="宋体" w:cs="宋体"/>
                <w:sz w:val="24"/>
                <w:lang w:eastAsia="zh-CN"/>
              </w:rPr>
              <w:t>或</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cs="宋体"/>
                <w:sz w:val="24"/>
              </w:rPr>
              <w:t>），有机质≥</w:t>
            </w:r>
            <w:r>
              <w:rPr>
                <w:rFonts w:hint="eastAsia" w:ascii="宋体" w:hAnsi="宋体" w:cs="宋体"/>
                <w:sz w:val="24"/>
                <w:lang w:val="en-US" w:eastAsia="zh-CN"/>
              </w:rPr>
              <w:t>8</w:t>
            </w:r>
            <w:r>
              <w:rPr>
                <w:rFonts w:hint="eastAsia" w:ascii="宋体" w:hAnsi="宋体" w:cs="宋体"/>
                <w:sz w:val="24"/>
              </w:rPr>
              <w:t>%</w:t>
            </w:r>
          </w:p>
        </w:tc>
        <w:tc>
          <w:tcPr>
            <w:tcW w:w="1470" w:type="dxa"/>
            <w:vAlign w:val="center"/>
          </w:tcPr>
          <w:p>
            <w:pPr>
              <w:spacing w:line="400" w:lineRule="exact"/>
              <w:jc w:val="center"/>
              <w:rPr>
                <w:rFonts w:ascii="宋体" w:hAnsi="宋体" w:cs="宋体"/>
                <w:bCs/>
                <w:szCs w:val="21"/>
              </w:rPr>
            </w:pPr>
            <w:r>
              <w:rPr>
                <w:rFonts w:hint="eastAsia" w:ascii="宋体" w:hAnsi="宋体" w:cs="宋体"/>
                <w:bCs/>
                <w:szCs w:val="21"/>
              </w:rPr>
              <w:t>25</w:t>
            </w:r>
          </w:p>
        </w:tc>
        <w:tc>
          <w:tcPr>
            <w:tcW w:w="885" w:type="dxa"/>
            <w:vAlign w:val="center"/>
          </w:tcPr>
          <w:p>
            <w:pPr>
              <w:spacing w:line="400" w:lineRule="exact"/>
              <w:jc w:val="center"/>
              <w:rPr>
                <w:rFonts w:ascii="宋体" w:hAnsi="宋体" w:cs="宋体"/>
                <w:bCs/>
                <w:color w:val="auto"/>
                <w:szCs w:val="21"/>
              </w:rPr>
            </w:pPr>
            <w:r>
              <w:rPr>
                <w:rFonts w:hint="eastAsia" w:ascii="宋体" w:hAnsi="宋体" w:cs="宋体"/>
                <w:bCs/>
                <w:color w:val="auto"/>
                <w:szCs w:val="21"/>
                <w:lang w:eastAsia="zh-CN"/>
              </w:rPr>
              <w:t>1</w:t>
            </w:r>
            <w:r>
              <w:rPr>
                <w:rFonts w:hint="eastAsia" w:ascii="宋体" w:hAnsi="宋体" w:cs="宋体"/>
                <w:bCs/>
                <w:color w:val="auto"/>
                <w:szCs w:val="21"/>
                <w:lang w:val="en-US" w:eastAsia="zh-CN"/>
              </w:rPr>
              <w:t>69</w:t>
            </w:r>
          </w:p>
        </w:tc>
        <w:tc>
          <w:tcPr>
            <w:tcW w:w="1497" w:type="dxa"/>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2</w:t>
            </w:r>
            <w:r>
              <w:rPr>
                <w:rFonts w:hint="eastAsia" w:ascii="宋体" w:hAnsi="宋体" w:cs="宋体"/>
                <w:bCs/>
                <w:color w:val="auto"/>
                <w:szCs w:val="21"/>
                <w:lang w:val="en-US" w:eastAsia="zh-CN"/>
              </w:rPr>
              <w:t>85</w:t>
            </w:r>
            <w:r>
              <w:rPr>
                <w:rFonts w:hint="eastAsia" w:ascii="宋体" w:hAnsi="宋体" w:cs="宋体"/>
                <w:bCs/>
                <w:color w:val="auto"/>
                <w:szCs w:val="21"/>
              </w:rPr>
              <w:t>0</w:t>
            </w:r>
          </w:p>
        </w:tc>
        <w:tc>
          <w:tcPr>
            <w:tcW w:w="1230" w:type="dxa"/>
            <w:vAlign w:val="center"/>
          </w:tcPr>
          <w:p>
            <w:pPr>
              <w:spacing w:line="400" w:lineRule="exact"/>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5" w:type="dxa"/>
            <w:gridSpan w:val="6"/>
            <w:vAlign w:val="center"/>
          </w:tcPr>
          <w:p>
            <w:pPr>
              <w:tabs>
                <w:tab w:val="left" w:pos="2698"/>
              </w:tabs>
              <w:spacing w:line="400" w:lineRule="exact"/>
              <w:jc w:val="left"/>
              <w:rPr>
                <w:rFonts w:ascii="宋体" w:hAnsi="宋体" w:cs="宋体"/>
                <w:bCs/>
                <w:color w:val="auto"/>
                <w:szCs w:val="21"/>
              </w:rPr>
            </w:pPr>
            <w:r>
              <w:rPr>
                <w:rFonts w:hint="eastAsia" w:ascii="宋体" w:hAnsi="宋体" w:cs="宋体"/>
                <w:szCs w:val="21"/>
                <w:highlight w:val="none"/>
              </w:rPr>
              <w:t>本合同含税货款金额总计:</w:t>
            </w:r>
            <w:r>
              <w:rPr>
                <w:rFonts w:hint="eastAsia" w:ascii="宋体" w:hAnsi="宋体" w:cs="宋体"/>
                <w:szCs w:val="21"/>
                <w:highlight w:val="none"/>
                <w:u w:val="single"/>
              </w:rPr>
              <w:t>人民币</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w:t>
            </w:r>
          </w:p>
        </w:tc>
      </w:tr>
    </w:tbl>
    <w:p>
      <w:pPr>
        <w:tabs>
          <w:tab w:val="left" w:pos="840"/>
        </w:tabs>
        <w:spacing w:line="460" w:lineRule="exact"/>
        <w:ind w:firstLine="480" w:firstLineChars="200"/>
        <w:rPr>
          <w:rFonts w:ascii="宋体" w:hAnsi="宋体" w:cs="宋体"/>
          <w:color w:val="auto"/>
          <w:sz w:val="24"/>
        </w:rPr>
      </w:pPr>
      <w:r>
        <w:rPr>
          <w:rFonts w:hint="eastAsia" w:ascii="宋体" w:hAnsi="宋体" w:cs="宋体"/>
          <w:color w:val="auto"/>
          <w:sz w:val="24"/>
        </w:rPr>
        <w:t>无论任何原因，乙方都不能上调本合同肥料单价，乙方须保质保量完成供货。</w:t>
      </w:r>
    </w:p>
    <w:p>
      <w:pPr>
        <w:tabs>
          <w:tab w:val="left" w:pos="840"/>
        </w:tabs>
        <w:spacing w:line="460" w:lineRule="exact"/>
        <w:ind w:firstLine="482" w:firstLineChars="200"/>
        <w:rPr>
          <w:rFonts w:ascii="宋体" w:hAnsi="宋体" w:cs="宋体"/>
          <w:sz w:val="24"/>
        </w:rPr>
      </w:pPr>
      <w:r>
        <w:rPr>
          <w:rFonts w:hint="eastAsia" w:ascii="宋体" w:hAnsi="宋体" w:cs="宋体"/>
          <w:b/>
          <w:bCs/>
          <w:sz w:val="24"/>
        </w:rPr>
        <w:t xml:space="preserve">1.质量要求及技术标准：                                                                                                                         </w:t>
      </w:r>
    </w:p>
    <w:p>
      <w:pPr>
        <w:tabs>
          <w:tab w:val="left" w:pos="840"/>
        </w:tabs>
        <w:spacing w:line="4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）桉树复</w:t>
      </w:r>
      <w:r>
        <w:rPr>
          <w:rFonts w:hint="eastAsia" w:ascii="宋体" w:hAnsi="宋体" w:cs="宋体"/>
          <w:sz w:val="24"/>
          <w:lang w:eastAsia="zh-CN"/>
        </w:rPr>
        <w:t>合</w:t>
      </w:r>
      <w:r>
        <w:rPr>
          <w:rFonts w:hint="eastAsia" w:ascii="宋体" w:hAnsi="宋体" w:cs="宋体"/>
          <w:sz w:val="24"/>
        </w:rPr>
        <w:t>肥料</w:t>
      </w:r>
      <w:r>
        <w:rPr>
          <w:rFonts w:hint="eastAsia" w:ascii="宋体" w:hAnsi="宋体" w:cs="宋体"/>
          <w:sz w:val="24"/>
          <w:lang w:val="en-US" w:eastAsia="zh-CN"/>
        </w:rPr>
        <w:t>1</w:t>
      </w:r>
      <w:r>
        <w:rPr>
          <w:rFonts w:hint="eastAsia" w:ascii="宋体" w:hAnsi="宋体" w:cs="宋体"/>
          <w:sz w:val="24"/>
        </w:rPr>
        <w:t>（15-8-12）：</w:t>
      </w:r>
    </w:p>
    <w:tbl>
      <w:tblPr>
        <w:tblStyle w:val="9"/>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68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hint="eastAsia" w:ascii="宋体" w:hAnsi="宋体" w:cs="宋体"/>
                <w:sz w:val="24"/>
              </w:rPr>
              <w:t>序号</w:t>
            </w:r>
          </w:p>
        </w:tc>
        <w:tc>
          <w:tcPr>
            <w:tcW w:w="5685" w:type="dxa"/>
            <w:vAlign w:val="top"/>
          </w:tcPr>
          <w:p>
            <w:pPr>
              <w:tabs>
                <w:tab w:val="left" w:pos="840"/>
              </w:tabs>
              <w:spacing w:line="440" w:lineRule="exact"/>
              <w:jc w:val="center"/>
              <w:rPr>
                <w:rFonts w:ascii="宋体" w:hAnsi="宋体" w:cs="宋体"/>
                <w:sz w:val="24"/>
              </w:rPr>
            </w:pPr>
            <w:r>
              <w:rPr>
                <w:rFonts w:hint="eastAsia" w:ascii="宋体" w:hAnsi="宋体" w:cs="宋体"/>
                <w:sz w:val="24"/>
              </w:rPr>
              <w:t>项目</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hint="eastAsia" w:ascii="宋体" w:hAnsi="宋体" w:cs="宋体"/>
                <w:sz w:val="24"/>
              </w:rPr>
              <w:t>1</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总养分（N+P</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5</w:t>
            </w:r>
            <w:r>
              <w:rPr>
                <w:rFonts w:hint="eastAsia" w:ascii="宋体" w:hAnsi="宋体" w:cs="宋体"/>
                <w:sz w:val="24"/>
              </w:rPr>
              <w:t>+K</w:t>
            </w:r>
            <w:r>
              <w:rPr>
                <w:rFonts w:hint="eastAsia" w:ascii="宋体" w:hAnsi="宋体" w:cs="宋体"/>
                <w:sz w:val="24"/>
                <w:vertAlign w:val="subscript"/>
              </w:rPr>
              <w:t>2</w:t>
            </w:r>
            <w:r>
              <w:rPr>
                <w:rFonts w:hint="eastAsia" w:ascii="宋体" w:hAnsi="宋体" w:cs="宋体"/>
                <w:sz w:val="24"/>
              </w:rPr>
              <w:t xml:space="preserve">O）的质量分数%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2</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 xml:space="preserve">N含量/%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3</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P</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5</w:t>
            </w:r>
            <w:r>
              <w:rPr>
                <w:rFonts w:hint="eastAsia" w:ascii="宋体" w:hAnsi="宋体" w:cs="宋体"/>
                <w:sz w:val="24"/>
              </w:rPr>
              <w:t xml:space="preserve">含量/%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4</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K</w:t>
            </w:r>
            <w:r>
              <w:rPr>
                <w:rFonts w:hint="eastAsia" w:ascii="宋体" w:hAnsi="宋体" w:cs="宋体"/>
                <w:sz w:val="24"/>
                <w:vertAlign w:val="subscript"/>
              </w:rPr>
              <w:t>2</w:t>
            </w:r>
            <w:r>
              <w:rPr>
                <w:rFonts w:hint="eastAsia" w:ascii="宋体" w:hAnsi="宋体" w:cs="宋体"/>
                <w:sz w:val="24"/>
              </w:rPr>
              <w:t xml:space="preserve">O含量/%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5</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有效Ca+Mg含量/%</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6</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 xml:space="preserve">Zn+B含量/ppm                         </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7</w:t>
            </w:r>
          </w:p>
        </w:tc>
        <w:tc>
          <w:tcPr>
            <w:tcW w:w="5685" w:type="dxa"/>
            <w:vAlign w:val="top"/>
          </w:tcPr>
          <w:p>
            <w:pPr>
              <w:tabs>
                <w:tab w:val="left" w:pos="840"/>
              </w:tabs>
              <w:spacing w:line="440" w:lineRule="exact"/>
              <w:rPr>
                <w:rFonts w:ascii="宋体" w:hAnsi="宋体" w:cs="宋体"/>
                <w:sz w:val="24"/>
              </w:rPr>
            </w:pPr>
            <w:r>
              <w:rPr>
                <w:rFonts w:hint="eastAsia" w:ascii="宋体" w:hAnsi="宋体" w:cs="宋体"/>
                <w:sz w:val="24"/>
              </w:rPr>
              <w:t>氯离子的质量分数/%</w:t>
            </w:r>
          </w:p>
        </w:tc>
        <w:tc>
          <w:tcPr>
            <w:tcW w:w="1965" w:type="dxa"/>
            <w:vAlign w:val="top"/>
          </w:tcPr>
          <w:p>
            <w:pPr>
              <w:tabs>
                <w:tab w:val="left" w:pos="840"/>
              </w:tabs>
              <w:spacing w:line="440" w:lineRule="exact"/>
              <w:jc w:val="center"/>
              <w:rPr>
                <w:rFonts w:ascii="宋体" w:hAnsi="宋体" w:cs="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8</w:t>
            </w:r>
          </w:p>
        </w:tc>
        <w:tc>
          <w:tcPr>
            <w:tcW w:w="7650" w:type="dxa"/>
            <w:gridSpan w:val="2"/>
            <w:vAlign w:val="top"/>
          </w:tcPr>
          <w:p>
            <w:pPr>
              <w:tabs>
                <w:tab w:val="left" w:pos="840"/>
              </w:tabs>
              <w:spacing w:line="440" w:lineRule="exact"/>
              <w:rPr>
                <w:rFonts w:ascii="宋体" w:hAnsi="宋体" w:cs="宋体"/>
                <w:sz w:val="24"/>
              </w:rPr>
            </w:pPr>
            <w:r>
              <w:rPr>
                <w:rFonts w:hint="eastAsia" w:ascii="宋体" w:hAnsi="宋体" w:cs="宋体"/>
                <w:sz w:val="24"/>
              </w:rPr>
              <w:t>其他指标符合GB</w:t>
            </w:r>
            <w:r>
              <w:rPr>
                <w:rFonts w:ascii="宋体" w:hAnsi="宋体" w:cs="宋体"/>
                <w:sz w:val="24"/>
              </w:rPr>
              <w:t>/T</w:t>
            </w:r>
            <w:r>
              <w:rPr>
                <w:rFonts w:hint="eastAsia" w:ascii="宋体" w:hAnsi="宋体" w:cs="宋体"/>
                <w:sz w:val="24"/>
              </w:rPr>
              <w:t>15063-20</w:t>
            </w:r>
            <w:r>
              <w:rPr>
                <w:rFonts w:ascii="宋体" w:hAnsi="宋体" w:cs="宋体"/>
                <w:sz w:val="24"/>
              </w:rPr>
              <w:t>20</w:t>
            </w:r>
            <w:r>
              <w:rPr>
                <w:rFonts w:hint="eastAsia" w:ascii="宋体" w:hAnsi="宋体" w:cs="宋体"/>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top"/>
          </w:tcPr>
          <w:p>
            <w:pPr>
              <w:tabs>
                <w:tab w:val="left" w:pos="840"/>
              </w:tabs>
              <w:spacing w:line="440" w:lineRule="exact"/>
              <w:jc w:val="center"/>
              <w:rPr>
                <w:rFonts w:ascii="宋体" w:hAnsi="宋体" w:cs="宋体"/>
                <w:sz w:val="24"/>
              </w:rPr>
            </w:pPr>
            <w:r>
              <w:rPr>
                <w:rFonts w:ascii="宋体" w:hAnsi="宋体" w:cs="宋体"/>
                <w:sz w:val="24"/>
              </w:rPr>
              <w:t>9</w:t>
            </w:r>
          </w:p>
        </w:tc>
        <w:tc>
          <w:tcPr>
            <w:tcW w:w="7650" w:type="dxa"/>
            <w:gridSpan w:val="2"/>
            <w:vAlign w:val="top"/>
          </w:tcPr>
          <w:p>
            <w:pPr>
              <w:tabs>
                <w:tab w:val="left" w:pos="840"/>
              </w:tabs>
              <w:spacing w:line="440" w:lineRule="exact"/>
              <w:rPr>
                <w:rFonts w:ascii="宋体" w:hAnsi="宋体" w:cs="宋体"/>
                <w:sz w:val="24"/>
              </w:rPr>
            </w:pPr>
            <w:r>
              <w:rPr>
                <w:rFonts w:hint="eastAsia" w:ascii="宋体" w:hAnsi="宋体" w:cs="宋体"/>
                <w:sz w:val="24"/>
              </w:rPr>
              <w:t>采用25kg/袋包装，有防潮内袋</w:t>
            </w:r>
          </w:p>
        </w:tc>
      </w:tr>
    </w:tbl>
    <w:p>
      <w:pPr>
        <w:tabs>
          <w:tab w:val="left" w:pos="840"/>
        </w:tabs>
        <w:spacing w:line="46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）桉树复</w:t>
      </w:r>
      <w:r>
        <w:rPr>
          <w:rFonts w:hint="eastAsia" w:ascii="宋体" w:hAnsi="宋体" w:cs="宋体"/>
          <w:sz w:val="24"/>
          <w:lang w:eastAsia="zh-CN"/>
        </w:rPr>
        <w:t>合</w:t>
      </w:r>
      <w:r>
        <w:rPr>
          <w:rFonts w:hint="eastAsia" w:ascii="宋体" w:hAnsi="宋体" w:cs="宋体"/>
          <w:sz w:val="24"/>
        </w:rPr>
        <w:t>肥料</w:t>
      </w:r>
      <w:r>
        <w:rPr>
          <w:rFonts w:hint="eastAsia" w:ascii="宋体" w:hAnsi="宋体" w:cs="宋体"/>
          <w:sz w:val="24"/>
          <w:lang w:val="en-US" w:eastAsia="zh-CN"/>
        </w:rPr>
        <w:t>2</w:t>
      </w:r>
      <w:r>
        <w:rPr>
          <w:rFonts w:hint="eastAsia" w:ascii="宋体" w:hAnsi="宋体" w:cs="宋体"/>
          <w:sz w:val="24"/>
        </w:rPr>
        <w:t>（15-6-9</w:t>
      </w:r>
      <w:r>
        <w:rPr>
          <w:rFonts w:hint="eastAsia" w:ascii="宋体" w:hAnsi="宋体" w:cs="宋体"/>
          <w:sz w:val="24"/>
          <w:lang w:eastAsia="zh-CN"/>
        </w:rPr>
        <w:t>或</w:t>
      </w:r>
      <w:r>
        <w:rPr>
          <w:rFonts w:hint="eastAsia" w:ascii="宋体" w:hAnsi="宋体" w:eastAsia="宋体" w:cs="宋体"/>
          <w:color w:val="auto"/>
          <w:sz w:val="24"/>
          <w:szCs w:val="24"/>
        </w:rPr>
        <w:t>1</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8</w:t>
      </w:r>
      <w:r>
        <w:rPr>
          <w:rFonts w:hint="eastAsia" w:ascii="宋体" w:hAnsi="宋体" w:cs="宋体"/>
          <w:sz w:val="24"/>
          <w:lang w:eastAsia="zh-CN"/>
        </w:rPr>
        <w:t>）</w:t>
      </w:r>
      <w:r>
        <w:rPr>
          <w:rFonts w:hint="eastAsia" w:ascii="宋体" w:hAnsi="宋体" w:cs="宋体"/>
          <w:sz w:val="24"/>
        </w:rPr>
        <w:t>：</w:t>
      </w:r>
    </w:p>
    <w:tbl>
      <w:tblPr>
        <w:tblStyle w:val="9"/>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5707"/>
        <w:gridCol w:w="1281"/>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restart"/>
            <w:vAlign w:val="center"/>
          </w:tcPr>
          <w:p>
            <w:pPr>
              <w:spacing w:line="440" w:lineRule="exact"/>
              <w:jc w:val="center"/>
              <w:rPr>
                <w:rFonts w:ascii="宋体" w:hAnsi="宋体" w:cs="宋体"/>
                <w:sz w:val="24"/>
              </w:rPr>
            </w:pPr>
            <w:r>
              <w:rPr>
                <w:rFonts w:hint="eastAsia" w:ascii="宋体" w:hAnsi="宋体" w:cs="宋体"/>
                <w:sz w:val="24"/>
              </w:rPr>
              <w:t>序号</w:t>
            </w:r>
          </w:p>
        </w:tc>
        <w:tc>
          <w:tcPr>
            <w:tcW w:w="5707" w:type="dxa"/>
            <w:vMerge w:val="restart"/>
            <w:vAlign w:val="center"/>
          </w:tcPr>
          <w:p>
            <w:pPr>
              <w:spacing w:line="440" w:lineRule="exact"/>
              <w:jc w:val="center"/>
              <w:rPr>
                <w:rFonts w:ascii="宋体" w:hAnsi="宋体" w:cs="宋体"/>
                <w:sz w:val="24"/>
              </w:rPr>
            </w:pPr>
            <w:r>
              <w:rPr>
                <w:rFonts w:hint="eastAsia" w:ascii="宋体" w:hAnsi="宋体" w:cs="宋体"/>
                <w:sz w:val="24"/>
              </w:rPr>
              <w:t>项目</w:t>
            </w:r>
          </w:p>
        </w:tc>
        <w:tc>
          <w:tcPr>
            <w:tcW w:w="2419" w:type="dxa"/>
            <w:gridSpan w:val="2"/>
            <w:vAlign w:val="top"/>
          </w:tcPr>
          <w:p>
            <w:pPr>
              <w:spacing w:line="440" w:lineRule="exact"/>
              <w:jc w:val="center"/>
              <w:rPr>
                <w:rFonts w:ascii="宋体" w:hAnsi="宋体" w:cs="宋体"/>
                <w:sz w:val="24"/>
              </w:rPr>
            </w:pPr>
            <w:r>
              <w:rPr>
                <w:rFonts w:hint="eastAsia" w:ascii="宋体" w:hAnsi="宋体" w:cs="宋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Merge w:val="continue"/>
            <w:vAlign w:val="top"/>
          </w:tcPr>
          <w:p>
            <w:pPr>
              <w:spacing w:line="440" w:lineRule="exact"/>
              <w:jc w:val="center"/>
              <w:rPr>
                <w:rFonts w:hint="eastAsia" w:ascii="宋体" w:hAnsi="宋体" w:cs="宋体"/>
                <w:sz w:val="24"/>
              </w:rPr>
            </w:pPr>
          </w:p>
        </w:tc>
        <w:tc>
          <w:tcPr>
            <w:tcW w:w="5707" w:type="dxa"/>
            <w:vMerge w:val="continue"/>
            <w:vAlign w:val="top"/>
          </w:tcPr>
          <w:p>
            <w:pPr>
              <w:spacing w:line="440" w:lineRule="exact"/>
              <w:jc w:val="center"/>
              <w:rPr>
                <w:rFonts w:hint="eastAsia" w:ascii="宋体" w:hAnsi="宋体" w:cs="宋体"/>
                <w:sz w:val="24"/>
              </w:rPr>
            </w:pPr>
          </w:p>
        </w:tc>
        <w:tc>
          <w:tcPr>
            <w:tcW w:w="1281" w:type="dxa"/>
            <w:vAlign w:val="top"/>
          </w:tcPr>
          <w:p>
            <w:pPr>
              <w:spacing w:line="440" w:lineRule="exact"/>
              <w:jc w:val="center"/>
              <w:rPr>
                <w:rFonts w:hint="eastAsia" w:ascii="宋体" w:hAnsi="宋体" w:cs="宋体"/>
                <w:sz w:val="24"/>
              </w:rPr>
            </w:pPr>
            <w:r>
              <w:rPr>
                <w:rFonts w:hint="eastAsia" w:ascii="宋体" w:hAnsi="宋体" w:cs="宋体"/>
                <w:sz w:val="24"/>
              </w:rPr>
              <w:t>15-6-9</w:t>
            </w:r>
          </w:p>
        </w:tc>
        <w:tc>
          <w:tcPr>
            <w:tcW w:w="1138" w:type="dxa"/>
            <w:vAlign w:val="top"/>
          </w:tcPr>
          <w:p>
            <w:pPr>
              <w:spacing w:line="440" w:lineRule="exact"/>
              <w:jc w:val="center"/>
              <w:rPr>
                <w:rFonts w:hint="eastAsia" w:ascii="宋体" w:hAnsi="宋体" w:cs="宋体"/>
                <w:sz w:val="24"/>
              </w:rPr>
            </w:pPr>
            <w:r>
              <w:rPr>
                <w:rFonts w:hint="eastAsia" w:ascii="宋体" w:hAnsi="宋体" w:eastAsia="宋体" w:cs="宋体"/>
                <w:color w:val="auto"/>
                <w:sz w:val="24"/>
                <w:szCs w:val="24"/>
              </w:rPr>
              <w:t>1</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spacing w:line="440" w:lineRule="exact"/>
              <w:jc w:val="center"/>
              <w:rPr>
                <w:rFonts w:ascii="宋体" w:hAnsi="宋体" w:cs="宋体"/>
                <w:sz w:val="24"/>
              </w:rPr>
            </w:pPr>
            <w:r>
              <w:rPr>
                <w:rFonts w:hint="eastAsia" w:ascii="宋体" w:hAnsi="宋体" w:cs="宋体"/>
                <w:sz w:val="24"/>
              </w:rPr>
              <w:t>1</w:t>
            </w:r>
          </w:p>
        </w:tc>
        <w:tc>
          <w:tcPr>
            <w:tcW w:w="5707" w:type="dxa"/>
            <w:vAlign w:val="top"/>
          </w:tcPr>
          <w:p>
            <w:pPr>
              <w:tabs>
                <w:tab w:val="left" w:pos="840"/>
              </w:tabs>
              <w:spacing w:line="440" w:lineRule="exact"/>
              <w:rPr>
                <w:rFonts w:ascii="宋体" w:hAnsi="宋体" w:cs="宋体"/>
                <w:sz w:val="24"/>
              </w:rPr>
            </w:pPr>
            <w:r>
              <w:rPr>
                <w:rFonts w:hint="eastAsia" w:ascii="宋体" w:hAnsi="宋体" w:cs="宋体"/>
                <w:sz w:val="24"/>
              </w:rPr>
              <w:t>总养分（N+P</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5</w:t>
            </w:r>
            <w:r>
              <w:rPr>
                <w:rFonts w:hint="eastAsia" w:ascii="宋体" w:hAnsi="宋体" w:cs="宋体"/>
                <w:sz w:val="24"/>
              </w:rPr>
              <w:t>+K</w:t>
            </w:r>
            <w:r>
              <w:rPr>
                <w:rFonts w:hint="eastAsia" w:ascii="宋体" w:hAnsi="宋体" w:cs="宋体"/>
                <w:sz w:val="24"/>
                <w:vertAlign w:val="subscript"/>
              </w:rPr>
              <w:t>2</w:t>
            </w:r>
            <w:r>
              <w:rPr>
                <w:rFonts w:hint="eastAsia" w:ascii="宋体" w:hAnsi="宋体" w:cs="宋体"/>
                <w:sz w:val="24"/>
              </w:rPr>
              <w:t xml:space="preserve">O）的质量分数/%      </w:t>
            </w:r>
          </w:p>
        </w:tc>
        <w:tc>
          <w:tcPr>
            <w:tcW w:w="1281" w:type="dxa"/>
            <w:vAlign w:val="top"/>
          </w:tcPr>
          <w:p>
            <w:pPr>
              <w:spacing w:line="440" w:lineRule="exact"/>
              <w:jc w:val="center"/>
              <w:rPr>
                <w:rFonts w:ascii="宋体" w:hAnsi="宋体" w:cs="宋体"/>
                <w:sz w:val="24"/>
              </w:rPr>
            </w:pPr>
            <w:r>
              <w:rPr>
                <w:rFonts w:hint="eastAsia" w:ascii="宋体" w:hAnsi="宋体" w:cs="宋体"/>
                <w:sz w:val="24"/>
              </w:rPr>
              <w:t>≥30</w:t>
            </w:r>
          </w:p>
        </w:tc>
        <w:tc>
          <w:tcPr>
            <w:tcW w:w="1138" w:type="dxa"/>
            <w:vAlign w:val="top"/>
          </w:tcPr>
          <w:p>
            <w:pPr>
              <w:spacing w:line="440" w:lineRule="exact"/>
              <w:jc w:val="center"/>
              <w:rPr>
                <w:rFonts w:hint="eastAsia" w:ascii="宋体" w:hAnsi="宋体" w:cs="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spacing w:line="440" w:lineRule="exact"/>
              <w:jc w:val="center"/>
              <w:rPr>
                <w:rFonts w:ascii="宋体" w:hAnsi="宋体" w:cs="宋体"/>
                <w:sz w:val="24"/>
              </w:rPr>
            </w:pPr>
            <w:r>
              <w:rPr>
                <w:rFonts w:ascii="宋体" w:hAnsi="宋体" w:cs="宋体"/>
                <w:sz w:val="24"/>
              </w:rPr>
              <w:t>2</w:t>
            </w:r>
          </w:p>
        </w:tc>
        <w:tc>
          <w:tcPr>
            <w:tcW w:w="5707" w:type="dxa"/>
            <w:vAlign w:val="top"/>
          </w:tcPr>
          <w:p>
            <w:pPr>
              <w:tabs>
                <w:tab w:val="left" w:pos="840"/>
              </w:tabs>
              <w:spacing w:line="440" w:lineRule="exact"/>
              <w:rPr>
                <w:rFonts w:ascii="宋体" w:hAnsi="宋体" w:cs="宋体"/>
                <w:sz w:val="24"/>
              </w:rPr>
            </w:pPr>
            <w:r>
              <w:rPr>
                <w:rFonts w:hint="eastAsia" w:ascii="宋体" w:hAnsi="宋体" w:cs="宋体"/>
                <w:sz w:val="24"/>
              </w:rPr>
              <w:t xml:space="preserve">N含量/%                       </w:t>
            </w:r>
          </w:p>
        </w:tc>
        <w:tc>
          <w:tcPr>
            <w:tcW w:w="1281" w:type="dxa"/>
            <w:vAlign w:val="top"/>
          </w:tcPr>
          <w:p>
            <w:pPr>
              <w:spacing w:line="440" w:lineRule="exact"/>
              <w:jc w:val="center"/>
              <w:rPr>
                <w:rFonts w:ascii="宋体" w:hAnsi="宋体" w:cs="宋体"/>
                <w:color w:val="FF0000"/>
                <w:sz w:val="24"/>
              </w:rPr>
            </w:pPr>
            <w:r>
              <w:rPr>
                <w:rFonts w:hint="eastAsia" w:ascii="宋体" w:hAnsi="宋体" w:cs="宋体"/>
                <w:color w:val="FF0000"/>
                <w:sz w:val="24"/>
              </w:rPr>
              <w:t>≥15</w:t>
            </w:r>
          </w:p>
        </w:tc>
        <w:tc>
          <w:tcPr>
            <w:tcW w:w="1138" w:type="dxa"/>
            <w:vAlign w:val="top"/>
          </w:tcPr>
          <w:p>
            <w:pPr>
              <w:spacing w:line="440" w:lineRule="exact"/>
              <w:jc w:val="center"/>
              <w:rPr>
                <w:rFonts w:hint="eastAsia" w:ascii="宋体" w:hAnsi="宋体" w:cs="宋体"/>
                <w:color w:val="FF0000"/>
                <w:sz w:val="24"/>
              </w:rPr>
            </w:pPr>
            <w:r>
              <w:rPr>
                <w:rFonts w:hint="eastAsia" w:ascii="宋体" w:hAnsi="宋体" w:cs="宋体"/>
                <w:color w:val="FF0000"/>
                <w:sz w:val="24"/>
              </w:rPr>
              <w:t>≥1</w:t>
            </w:r>
            <w:r>
              <w:rPr>
                <w:rFonts w:hint="eastAsia" w:ascii="宋体" w:hAnsi="宋体" w:cs="宋体"/>
                <w:color w:val="FF000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spacing w:line="440" w:lineRule="exact"/>
              <w:jc w:val="center"/>
              <w:rPr>
                <w:rFonts w:ascii="宋体" w:hAnsi="宋体" w:cs="宋体"/>
                <w:sz w:val="24"/>
              </w:rPr>
            </w:pPr>
            <w:r>
              <w:rPr>
                <w:rFonts w:ascii="宋体" w:hAnsi="宋体" w:cs="宋体"/>
                <w:sz w:val="24"/>
              </w:rPr>
              <w:t>3</w:t>
            </w:r>
          </w:p>
        </w:tc>
        <w:tc>
          <w:tcPr>
            <w:tcW w:w="5707" w:type="dxa"/>
            <w:vAlign w:val="top"/>
          </w:tcPr>
          <w:p>
            <w:pPr>
              <w:tabs>
                <w:tab w:val="left" w:pos="840"/>
              </w:tabs>
              <w:spacing w:line="440" w:lineRule="exact"/>
              <w:rPr>
                <w:rFonts w:ascii="宋体" w:hAnsi="宋体" w:cs="宋体"/>
                <w:sz w:val="24"/>
              </w:rPr>
            </w:pPr>
            <w:r>
              <w:rPr>
                <w:rFonts w:hint="eastAsia" w:ascii="宋体" w:hAnsi="宋体" w:cs="宋体"/>
                <w:sz w:val="24"/>
              </w:rPr>
              <w:t>P</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5</w:t>
            </w:r>
            <w:r>
              <w:rPr>
                <w:rFonts w:hint="eastAsia" w:ascii="宋体" w:hAnsi="宋体" w:cs="宋体"/>
                <w:sz w:val="24"/>
              </w:rPr>
              <w:t xml:space="preserve">含量/%                     </w:t>
            </w:r>
          </w:p>
        </w:tc>
        <w:tc>
          <w:tcPr>
            <w:tcW w:w="1281" w:type="dxa"/>
            <w:vAlign w:val="top"/>
          </w:tcPr>
          <w:p>
            <w:pPr>
              <w:spacing w:line="440" w:lineRule="exact"/>
              <w:jc w:val="center"/>
              <w:rPr>
                <w:rFonts w:ascii="宋体" w:hAnsi="宋体" w:cs="宋体"/>
                <w:color w:val="FF0000"/>
                <w:sz w:val="24"/>
              </w:rPr>
            </w:pPr>
            <w:r>
              <w:rPr>
                <w:rFonts w:hint="eastAsia" w:ascii="宋体" w:hAnsi="宋体" w:cs="宋体"/>
                <w:color w:val="FF0000"/>
                <w:sz w:val="24"/>
              </w:rPr>
              <w:t>≥6</w:t>
            </w:r>
          </w:p>
        </w:tc>
        <w:tc>
          <w:tcPr>
            <w:tcW w:w="1138" w:type="dxa"/>
            <w:vAlign w:val="top"/>
          </w:tcPr>
          <w:p>
            <w:pPr>
              <w:spacing w:line="440" w:lineRule="exact"/>
              <w:jc w:val="center"/>
              <w:rPr>
                <w:rFonts w:hint="eastAsia" w:ascii="宋体" w:hAnsi="宋体" w:cs="宋体"/>
                <w:color w:val="FF0000"/>
                <w:sz w:val="24"/>
              </w:rPr>
            </w:pPr>
            <w:r>
              <w:rPr>
                <w:rFonts w:hint="eastAsia" w:ascii="宋体" w:hAnsi="宋体" w:cs="宋体"/>
                <w:color w:val="FF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spacing w:line="440" w:lineRule="exact"/>
              <w:jc w:val="center"/>
              <w:rPr>
                <w:rFonts w:ascii="宋体" w:hAnsi="宋体" w:cs="宋体"/>
                <w:sz w:val="24"/>
              </w:rPr>
            </w:pPr>
            <w:r>
              <w:rPr>
                <w:rFonts w:ascii="宋体" w:hAnsi="宋体" w:cs="宋体"/>
                <w:sz w:val="24"/>
              </w:rPr>
              <w:t>4</w:t>
            </w:r>
          </w:p>
        </w:tc>
        <w:tc>
          <w:tcPr>
            <w:tcW w:w="5707" w:type="dxa"/>
            <w:vAlign w:val="top"/>
          </w:tcPr>
          <w:p>
            <w:pPr>
              <w:tabs>
                <w:tab w:val="left" w:pos="840"/>
              </w:tabs>
              <w:spacing w:line="440" w:lineRule="exact"/>
              <w:rPr>
                <w:rFonts w:ascii="宋体" w:hAnsi="宋体" w:cs="宋体"/>
                <w:sz w:val="24"/>
              </w:rPr>
            </w:pPr>
            <w:r>
              <w:rPr>
                <w:rFonts w:hint="eastAsia" w:ascii="宋体" w:hAnsi="宋体" w:cs="宋体"/>
                <w:sz w:val="24"/>
              </w:rPr>
              <w:t>K</w:t>
            </w:r>
            <w:r>
              <w:rPr>
                <w:rFonts w:hint="eastAsia" w:ascii="宋体" w:hAnsi="宋体" w:cs="宋体"/>
                <w:sz w:val="24"/>
                <w:vertAlign w:val="subscript"/>
              </w:rPr>
              <w:t>2</w:t>
            </w:r>
            <w:r>
              <w:rPr>
                <w:rFonts w:hint="eastAsia" w:ascii="宋体" w:hAnsi="宋体" w:cs="宋体"/>
                <w:sz w:val="24"/>
              </w:rPr>
              <w:t xml:space="preserve">O含量/%                     </w:t>
            </w:r>
          </w:p>
        </w:tc>
        <w:tc>
          <w:tcPr>
            <w:tcW w:w="1281" w:type="dxa"/>
            <w:vAlign w:val="top"/>
          </w:tcPr>
          <w:p>
            <w:pPr>
              <w:spacing w:line="440" w:lineRule="exact"/>
              <w:jc w:val="center"/>
              <w:rPr>
                <w:rFonts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9</w:t>
            </w:r>
          </w:p>
        </w:tc>
        <w:tc>
          <w:tcPr>
            <w:tcW w:w="1138" w:type="dxa"/>
            <w:vAlign w:val="top"/>
          </w:tcPr>
          <w:p>
            <w:pPr>
              <w:spacing w:line="440" w:lineRule="exact"/>
              <w:jc w:val="center"/>
              <w:rPr>
                <w:rFonts w:hint="eastAsia" w:ascii="宋体" w:hAnsi="宋体" w:cs="宋体"/>
                <w:color w:val="FF0000"/>
                <w:sz w:val="24"/>
              </w:rPr>
            </w:pPr>
            <w:r>
              <w:rPr>
                <w:rFonts w:hint="eastAsia" w:ascii="宋体" w:hAnsi="宋体" w:cs="宋体"/>
                <w:color w:val="FF0000"/>
                <w:sz w:val="24"/>
              </w:rPr>
              <w:t>≥</w:t>
            </w:r>
            <w:r>
              <w:rPr>
                <w:rFonts w:hint="eastAsia" w:ascii="宋体" w:hAnsi="宋体" w:cs="宋体"/>
                <w:color w:val="FF000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spacing w:line="440" w:lineRule="exact"/>
              <w:jc w:val="center"/>
              <w:rPr>
                <w:rFonts w:ascii="宋体" w:hAnsi="宋体" w:cs="宋体"/>
                <w:sz w:val="24"/>
              </w:rPr>
            </w:pPr>
            <w:r>
              <w:rPr>
                <w:rFonts w:ascii="宋体" w:hAnsi="宋体" w:cs="宋体"/>
                <w:sz w:val="24"/>
              </w:rPr>
              <w:t>5</w:t>
            </w:r>
          </w:p>
        </w:tc>
        <w:tc>
          <w:tcPr>
            <w:tcW w:w="5707" w:type="dxa"/>
            <w:vAlign w:val="top"/>
          </w:tcPr>
          <w:p>
            <w:pPr>
              <w:tabs>
                <w:tab w:val="left" w:pos="840"/>
              </w:tabs>
              <w:spacing w:line="440" w:lineRule="exact"/>
              <w:rPr>
                <w:rFonts w:ascii="宋体" w:hAnsi="宋体" w:cs="宋体"/>
                <w:sz w:val="24"/>
              </w:rPr>
            </w:pPr>
            <w:r>
              <w:rPr>
                <w:rFonts w:hint="eastAsia" w:ascii="宋体" w:hAnsi="宋体" w:cs="宋体"/>
                <w:sz w:val="24"/>
              </w:rPr>
              <w:t>有效Ca+Mg含量/%</w:t>
            </w:r>
          </w:p>
        </w:tc>
        <w:tc>
          <w:tcPr>
            <w:tcW w:w="2419" w:type="dxa"/>
            <w:gridSpan w:val="2"/>
            <w:vAlign w:val="top"/>
          </w:tcPr>
          <w:p>
            <w:pPr>
              <w:spacing w:line="440" w:lineRule="exact"/>
              <w:jc w:val="center"/>
              <w:rPr>
                <w:rFonts w:hint="eastAsia" w:ascii="宋体" w:hAnsi="宋体" w:cs="宋体"/>
                <w:sz w:val="24"/>
              </w:rPr>
            </w:pPr>
            <w:r>
              <w:rPr>
                <w:rFonts w:hint="eastAsia" w:ascii="宋体" w:hAnsi="宋体" w:cs="宋体"/>
                <w:sz w:val="24"/>
              </w:rPr>
              <w:t>≥</w:t>
            </w:r>
            <w:r>
              <w:rPr>
                <w:rFonts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spacing w:line="440" w:lineRule="exact"/>
              <w:jc w:val="center"/>
              <w:rPr>
                <w:rFonts w:ascii="宋体" w:hAnsi="宋体" w:cs="宋体"/>
                <w:sz w:val="24"/>
              </w:rPr>
            </w:pPr>
            <w:r>
              <w:rPr>
                <w:rFonts w:ascii="宋体" w:hAnsi="宋体" w:cs="宋体"/>
                <w:sz w:val="24"/>
              </w:rPr>
              <w:t>6</w:t>
            </w:r>
          </w:p>
        </w:tc>
        <w:tc>
          <w:tcPr>
            <w:tcW w:w="5707" w:type="dxa"/>
            <w:vAlign w:val="top"/>
          </w:tcPr>
          <w:p>
            <w:pPr>
              <w:tabs>
                <w:tab w:val="left" w:pos="840"/>
              </w:tabs>
              <w:spacing w:line="440" w:lineRule="exact"/>
              <w:rPr>
                <w:rFonts w:ascii="宋体" w:hAnsi="宋体" w:cs="宋体"/>
                <w:sz w:val="24"/>
              </w:rPr>
            </w:pPr>
            <w:r>
              <w:rPr>
                <w:rFonts w:hint="eastAsia" w:ascii="宋体" w:hAnsi="宋体" w:cs="宋体"/>
                <w:sz w:val="24"/>
              </w:rPr>
              <w:t xml:space="preserve">Zn+B含量/ppm                         </w:t>
            </w:r>
          </w:p>
        </w:tc>
        <w:tc>
          <w:tcPr>
            <w:tcW w:w="2419" w:type="dxa"/>
            <w:gridSpan w:val="2"/>
            <w:vAlign w:val="top"/>
          </w:tcPr>
          <w:p>
            <w:pPr>
              <w:spacing w:line="440" w:lineRule="exact"/>
              <w:jc w:val="center"/>
              <w:rPr>
                <w:rFonts w:hint="eastAsia"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tabs>
                <w:tab w:val="left" w:pos="840"/>
              </w:tabs>
              <w:spacing w:line="440" w:lineRule="exact"/>
              <w:jc w:val="center"/>
              <w:rPr>
                <w:rFonts w:ascii="宋体" w:hAnsi="宋体" w:cs="宋体"/>
                <w:sz w:val="24"/>
              </w:rPr>
            </w:pPr>
            <w:r>
              <w:rPr>
                <w:rFonts w:ascii="宋体" w:hAnsi="宋体" w:cs="宋体"/>
                <w:sz w:val="24"/>
              </w:rPr>
              <w:t>7</w:t>
            </w:r>
          </w:p>
        </w:tc>
        <w:tc>
          <w:tcPr>
            <w:tcW w:w="5707" w:type="dxa"/>
            <w:vAlign w:val="top"/>
          </w:tcPr>
          <w:p>
            <w:pPr>
              <w:tabs>
                <w:tab w:val="left" w:pos="840"/>
              </w:tabs>
              <w:spacing w:line="440" w:lineRule="exact"/>
              <w:rPr>
                <w:rFonts w:ascii="宋体" w:hAnsi="宋体" w:cs="宋体"/>
                <w:sz w:val="24"/>
              </w:rPr>
            </w:pPr>
            <w:r>
              <w:rPr>
                <w:rFonts w:hint="eastAsia" w:ascii="宋体" w:hAnsi="宋体" w:cs="宋体"/>
                <w:sz w:val="24"/>
              </w:rPr>
              <w:t>有机质的质量分数</w:t>
            </w:r>
          </w:p>
        </w:tc>
        <w:tc>
          <w:tcPr>
            <w:tcW w:w="2419" w:type="dxa"/>
            <w:gridSpan w:val="2"/>
            <w:vAlign w:val="top"/>
          </w:tcPr>
          <w:p>
            <w:pPr>
              <w:tabs>
                <w:tab w:val="left" w:pos="840"/>
              </w:tabs>
              <w:spacing w:line="440" w:lineRule="exact"/>
              <w:jc w:val="center"/>
              <w:rPr>
                <w:rFonts w:hint="eastAsia"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spacing w:line="440" w:lineRule="exact"/>
              <w:jc w:val="center"/>
              <w:rPr>
                <w:rFonts w:ascii="宋体" w:hAnsi="宋体" w:cs="宋体"/>
                <w:sz w:val="24"/>
              </w:rPr>
            </w:pPr>
            <w:r>
              <w:rPr>
                <w:rFonts w:ascii="宋体" w:hAnsi="宋体" w:cs="宋体"/>
                <w:sz w:val="24"/>
              </w:rPr>
              <w:t>8</w:t>
            </w:r>
          </w:p>
        </w:tc>
        <w:tc>
          <w:tcPr>
            <w:tcW w:w="5707" w:type="dxa"/>
            <w:vAlign w:val="top"/>
          </w:tcPr>
          <w:p>
            <w:pPr>
              <w:tabs>
                <w:tab w:val="left" w:pos="840"/>
              </w:tabs>
              <w:spacing w:line="440" w:lineRule="exact"/>
              <w:rPr>
                <w:rFonts w:ascii="宋体" w:hAnsi="宋体" w:cs="宋体"/>
                <w:sz w:val="24"/>
              </w:rPr>
            </w:pPr>
            <w:r>
              <w:rPr>
                <w:rFonts w:hint="eastAsia" w:ascii="宋体" w:hAnsi="宋体" w:cs="宋体"/>
                <w:sz w:val="24"/>
              </w:rPr>
              <w:t>氯离子的质量分数/%</w:t>
            </w:r>
          </w:p>
        </w:tc>
        <w:tc>
          <w:tcPr>
            <w:tcW w:w="2419" w:type="dxa"/>
            <w:gridSpan w:val="2"/>
            <w:vAlign w:val="top"/>
          </w:tcPr>
          <w:p>
            <w:pPr>
              <w:spacing w:line="440" w:lineRule="exact"/>
              <w:jc w:val="center"/>
              <w:rPr>
                <w:rFonts w:hint="eastAsia" w:ascii="宋体" w:hAnsi="宋体" w:cs="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spacing w:line="440" w:lineRule="exact"/>
              <w:jc w:val="center"/>
              <w:rPr>
                <w:rFonts w:ascii="宋体" w:hAnsi="宋体" w:cs="宋体"/>
                <w:sz w:val="24"/>
              </w:rPr>
            </w:pPr>
            <w:r>
              <w:rPr>
                <w:rFonts w:ascii="宋体" w:hAnsi="宋体" w:cs="宋体"/>
                <w:sz w:val="24"/>
              </w:rPr>
              <w:t>9</w:t>
            </w:r>
          </w:p>
        </w:tc>
        <w:tc>
          <w:tcPr>
            <w:tcW w:w="8126" w:type="dxa"/>
            <w:gridSpan w:val="3"/>
            <w:vAlign w:val="top"/>
          </w:tcPr>
          <w:p>
            <w:pPr>
              <w:tabs>
                <w:tab w:val="left" w:pos="840"/>
              </w:tabs>
              <w:spacing w:line="440" w:lineRule="exact"/>
              <w:rPr>
                <w:rFonts w:ascii="宋体" w:hAnsi="宋体" w:cs="宋体"/>
                <w:sz w:val="24"/>
              </w:rPr>
            </w:pPr>
            <w:r>
              <w:rPr>
                <w:rFonts w:hint="eastAsia" w:ascii="宋体" w:hAnsi="宋体" w:cs="宋体"/>
                <w:sz w:val="24"/>
              </w:rPr>
              <w:t>其他指标符合GB</w:t>
            </w:r>
            <w:r>
              <w:rPr>
                <w:rFonts w:ascii="宋体" w:hAnsi="宋体" w:cs="宋体"/>
                <w:sz w:val="24"/>
              </w:rPr>
              <w:t>/T15063</w:t>
            </w:r>
            <w:r>
              <w:rPr>
                <w:rFonts w:hint="eastAsia" w:ascii="宋体" w:hAnsi="宋体" w:cs="宋体"/>
                <w:sz w:val="24"/>
              </w:rPr>
              <w:t>-20</w:t>
            </w:r>
            <w:r>
              <w:rPr>
                <w:rFonts w:ascii="宋体" w:hAnsi="宋体" w:cs="宋体"/>
                <w:sz w:val="24"/>
              </w:rPr>
              <w:t>20</w:t>
            </w:r>
            <w:r>
              <w:rPr>
                <w:rFonts w:hint="eastAsia" w:ascii="宋体" w:hAnsi="宋体" w:cs="宋体"/>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top"/>
          </w:tcPr>
          <w:p>
            <w:pPr>
              <w:spacing w:line="440" w:lineRule="exact"/>
              <w:jc w:val="center"/>
              <w:rPr>
                <w:rFonts w:ascii="宋体" w:hAnsi="宋体" w:cs="宋体"/>
                <w:sz w:val="24"/>
              </w:rPr>
            </w:pPr>
            <w:r>
              <w:rPr>
                <w:rFonts w:ascii="宋体" w:hAnsi="宋体" w:cs="宋体"/>
                <w:sz w:val="24"/>
              </w:rPr>
              <w:t>10</w:t>
            </w:r>
          </w:p>
        </w:tc>
        <w:tc>
          <w:tcPr>
            <w:tcW w:w="8126" w:type="dxa"/>
            <w:gridSpan w:val="3"/>
            <w:vAlign w:val="top"/>
          </w:tcPr>
          <w:p>
            <w:pPr>
              <w:tabs>
                <w:tab w:val="left" w:pos="840"/>
              </w:tabs>
              <w:spacing w:line="440" w:lineRule="exact"/>
              <w:rPr>
                <w:rFonts w:ascii="宋体" w:hAnsi="宋体" w:cs="宋体"/>
                <w:sz w:val="24"/>
              </w:rPr>
            </w:pPr>
            <w:r>
              <w:rPr>
                <w:rFonts w:hint="eastAsia" w:ascii="宋体" w:hAnsi="宋体" w:cs="宋体"/>
                <w:sz w:val="24"/>
              </w:rPr>
              <w:t>采用25kg/袋包装，有防潮内袋</w:t>
            </w:r>
          </w:p>
        </w:tc>
      </w:tr>
    </w:tbl>
    <w:p>
      <w:pPr>
        <w:tabs>
          <w:tab w:val="left" w:pos="840"/>
        </w:tabs>
        <w:spacing w:line="460" w:lineRule="exact"/>
        <w:ind w:firstLine="498" w:firstLineChars="200"/>
        <w:rPr>
          <w:rFonts w:hint="eastAsia" w:ascii="宋体" w:hAnsi="宋体" w:cs="宋体"/>
          <w:b/>
          <w:bCs/>
          <w:spacing w:val="4"/>
          <w:sz w:val="24"/>
        </w:rPr>
      </w:pP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2.交货方式：</w:t>
      </w:r>
      <w:r>
        <w:rPr>
          <w:rFonts w:hint="eastAsia" w:ascii="宋体" w:hAnsi="宋体" w:cs="宋体"/>
          <w:spacing w:val="4"/>
          <w:sz w:val="24"/>
        </w:rPr>
        <w:t>按甲方需求分批供货。调运前甲方提前电话或其他双方认可的方式通知乙方，乙方应在甲方通知后的 2 日内按时送货到甲方指定交货地点。</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乙方指定联系人与甲方对接，该联系人负责发货批次、时间、货物验收、检验等事项的全部事宜，甲方向该联系人发出的通知，即视为向乙方发出通知。</w:t>
      </w:r>
    </w:p>
    <w:p>
      <w:pPr>
        <w:tabs>
          <w:tab w:val="left" w:pos="840"/>
        </w:tabs>
        <w:spacing w:line="460" w:lineRule="exact"/>
        <w:ind w:firstLine="498" w:firstLineChars="200"/>
        <w:rPr>
          <w:rFonts w:ascii="宋体" w:hAnsi="宋体" w:cs="宋体"/>
          <w:spacing w:val="4"/>
          <w:sz w:val="24"/>
          <w:highlight w:val="none"/>
        </w:rPr>
      </w:pPr>
      <w:r>
        <w:rPr>
          <w:rFonts w:hint="eastAsia" w:ascii="宋体" w:hAnsi="宋体" w:cs="宋体"/>
          <w:b/>
          <w:bCs/>
          <w:spacing w:val="4"/>
          <w:sz w:val="24"/>
        </w:rPr>
        <w:t>3.交货地点：</w:t>
      </w:r>
      <w:r>
        <w:rPr>
          <w:rFonts w:hint="eastAsia" w:ascii="宋体" w:hAnsi="宋体" w:cs="宋体"/>
          <w:spacing w:val="4"/>
          <w:sz w:val="24"/>
        </w:rPr>
        <w:t>林地边缘三十吨汽车能到达的位置（以甲方确认为准），装车、运输费用由乙方承担，肥料转运由施工方完成。</w:t>
      </w:r>
      <w:r>
        <w:rPr>
          <w:rFonts w:hint="eastAsia" w:ascii="宋体" w:hAnsi="宋体" w:cs="宋体"/>
          <w:spacing w:val="4"/>
          <w:sz w:val="24"/>
          <w:highlight w:val="none"/>
        </w:rPr>
        <w:t>甲方应确保路况正常通行的情况下指示乙方进行运输，如中途遇到修路、无法通行等导致乙方无法送达指定地点，所产生的倒运费、装卸费乙方不再承担。</w:t>
      </w:r>
    </w:p>
    <w:p>
      <w:pPr>
        <w:tabs>
          <w:tab w:val="left" w:pos="840"/>
        </w:tabs>
        <w:spacing w:line="460" w:lineRule="exact"/>
        <w:ind w:firstLine="498" w:firstLineChars="200"/>
        <w:rPr>
          <w:rFonts w:ascii="宋体" w:hAnsi="宋体" w:cs="宋体"/>
          <w:spacing w:val="4"/>
          <w:sz w:val="24"/>
        </w:rPr>
      </w:pPr>
      <w:r>
        <w:rPr>
          <w:rFonts w:hint="eastAsia" w:ascii="宋体" w:hAnsi="宋体" w:cs="宋体"/>
          <w:b/>
          <w:bCs/>
          <w:spacing w:val="4"/>
          <w:sz w:val="24"/>
        </w:rPr>
        <w:t>4.交货验收及实际货量：</w:t>
      </w:r>
      <w:r>
        <w:rPr>
          <w:rFonts w:hint="eastAsia" w:ascii="宋体" w:hAnsi="宋体" w:cs="宋体"/>
          <w:spacing w:val="4"/>
          <w:sz w:val="24"/>
        </w:rPr>
        <w:t>乙方将货物送达指定交货地点应立刻通知甲方验收；甲方收到乙方验收通知后12小时内在交货地进行交货验收。甲方在交货时的验收仅指对产品包装上的名称、配方指标、数量等是否与本合同约定一致进行确认，乙方在甲方交货验收后，仍应承担保证产品质量符合本合同约定的责任。货物毁损、灭失的风险自货物被完整地运送到甲方指定交货地点、且甲方完成交货验收合格后从乙方转移到甲方。乙方货物经交货验收不合格的，甲方有权拒绝收货，乙方应在12小时内向甲方交付符合要求的货品，直至符合本合同约定的标准为止，交货期限不予延顺，若因此造成逾期交货的，乙方应按合同关于逾期交货的约定承担违约责任，不合格货物的保管和装卸费用均由乙方承担。</w:t>
      </w:r>
    </w:p>
    <w:p>
      <w:pPr>
        <w:tabs>
          <w:tab w:val="left" w:pos="840"/>
        </w:tabs>
        <w:spacing w:line="460" w:lineRule="exact"/>
        <w:ind w:firstLine="496" w:firstLineChars="200"/>
        <w:rPr>
          <w:rFonts w:ascii="宋体" w:hAnsi="宋体" w:cs="宋体"/>
          <w:spacing w:val="4"/>
          <w:sz w:val="24"/>
          <w:highlight w:val="none"/>
        </w:rPr>
      </w:pPr>
      <w:r>
        <w:rPr>
          <w:rFonts w:hint="eastAsia" w:ascii="宋体" w:hAnsi="宋体" w:cs="宋体"/>
          <w:spacing w:val="4"/>
          <w:sz w:val="24"/>
          <w:highlight w:val="none"/>
        </w:rPr>
        <w:t>甲方收货人信息</w:t>
      </w:r>
      <w:r>
        <w:rPr>
          <w:rFonts w:ascii="宋体" w:hAnsi="宋体" w:cs="宋体"/>
          <w:spacing w:val="4"/>
          <w:sz w:val="24"/>
          <w:highlight w:val="none"/>
        </w:rPr>
        <w:t>：</w:t>
      </w:r>
    </w:p>
    <w:p>
      <w:pPr>
        <w:tabs>
          <w:tab w:val="left" w:pos="840"/>
        </w:tabs>
        <w:spacing w:line="460" w:lineRule="exact"/>
        <w:ind w:firstLine="498" w:firstLineChars="200"/>
        <w:rPr>
          <w:rFonts w:ascii="宋体" w:hAnsi="宋体" w:cs="宋体"/>
          <w:color w:val="auto"/>
          <w:spacing w:val="4"/>
          <w:sz w:val="24"/>
        </w:rPr>
      </w:pPr>
      <w:r>
        <w:rPr>
          <w:rFonts w:hint="eastAsia" w:ascii="宋体" w:hAnsi="宋体" w:cs="宋体"/>
          <w:b/>
          <w:bCs/>
          <w:spacing w:val="4"/>
          <w:sz w:val="24"/>
        </w:rPr>
        <w:t>5.甲方收货时间：</w:t>
      </w:r>
      <w:r>
        <w:rPr>
          <w:rFonts w:hint="eastAsia" w:ascii="宋体" w:hAnsi="宋体" w:cs="宋体"/>
          <w:b/>
          <w:bCs/>
          <w:color w:val="auto"/>
          <w:spacing w:val="4"/>
          <w:sz w:val="24"/>
        </w:rPr>
        <w:t>202</w:t>
      </w:r>
      <w:r>
        <w:rPr>
          <w:rFonts w:hint="eastAsia" w:ascii="宋体" w:hAnsi="宋体" w:cs="宋体"/>
          <w:b/>
          <w:bCs/>
          <w:color w:val="auto"/>
          <w:spacing w:val="4"/>
          <w:sz w:val="24"/>
          <w:lang w:val="en-US" w:eastAsia="zh-CN"/>
        </w:rPr>
        <w:t>3</w:t>
      </w:r>
      <w:r>
        <w:rPr>
          <w:rFonts w:hint="eastAsia" w:ascii="宋体" w:hAnsi="宋体" w:cs="宋体"/>
          <w:b/>
          <w:bCs/>
          <w:color w:val="auto"/>
          <w:spacing w:val="4"/>
          <w:sz w:val="24"/>
        </w:rPr>
        <w:t>年</w:t>
      </w:r>
      <w:r>
        <w:rPr>
          <w:rFonts w:hint="eastAsia" w:ascii="宋体" w:hAnsi="宋体" w:cs="宋体"/>
          <w:b/>
          <w:bCs/>
          <w:color w:val="auto"/>
          <w:spacing w:val="4"/>
          <w:sz w:val="24"/>
          <w:lang w:val="en-US" w:eastAsia="zh-CN"/>
        </w:rPr>
        <w:t>2</w:t>
      </w:r>
      <w:r>
        <w:rPr>
          <w:rFonts w:hint="eastAsia" w:ascii="宋体" w:hAnsi="宋体" w:cs="宋体"/>
          <w:b/>
          <w:bCs/>
          <w:color w:val="auto"/>
          <w:spacing w:val="4"/>
          <w:sz w:val="24"/>
        </w:rPr>
        <w:t>月</w:t>
      </w:r>
      <w:r>
        <w:rPr>
          <w:rFonts w:hint="eastAsia" w:ascii="宋体" w:hAnsi="宋体" w:cs="宋体"/>
          <w:b/>
          <w:bCs/>
          <w:color w:val="auto"/>
          <w:spacing w:val="4"/>
          <w:sz w:val="24"/>
          <w:lang w:eastAsia="zh-CN"/>
        </w:rPr>
        <w:t>1</w:t>
      </w:r>
      <w:r>
        <w:rPr>
          <w:rFonts w:hint="eastAsia" w:ascii="宋体" w:hAnsi="宋体" w:cs="宋体"/>
          <w:b/>
          <w:bCs/>
          <w:color w:val="auto"/>
          <w:spacing w:val="4"/>
          <w:sz w:val="24"/>
        </w:rPr>
        <w:t>日至202</w:t>
      </w:r>
      <w:r>
        <w:rPr>
          <w:rFonts w:hint="eastAsia" w:ascii="宋体" w:hAnsi="宋体" w:cs="宋体"/>
          <w:b/>
          <w:bCs/>
          <w:color w:val="auto"/>
          <w:spacing w:val="4"/>
          <w:sz w:val="24"/>
          <w:lang w:val="en-US" w:eastAsia="zh-CN"/>
        </w:rPr>
        <w:t>3</w:t>
      </w:r>
      <w:r>
        <w:rPr>
          <w:rFonts w:hint="eastAsia" w:ascii="宋体" w:hAnsi="宋体" w:cs="宋体"/>
          <w:b/>
          <w:bCs/>
          <w:color w:val="auto"/>
          <w:spacing w:val="4"/>
          <w:sz w:val="24"/>
        </w:rPr>
        <w:t>年12月31日。</w:t>
      </w:r>
    </w:p>
    <w:p>
      <w:pPr>
        <w:tabs>
          <w:tab w:val="left" w:pos="840"/>
        </w:tabs>
        <w:spacing w:line="460" w:lineRule="exact"/>
        <w:ind w:firstLine="498" w:firstLineChars="200"/>
        <w:rPr>
          <w:rFonts w:ascii="宋体" w:hAnsi="宋体" w:cs="宋体"/>
          <w:color w:val="auto"/>
          <w:spacing w:val="4"/>
          <w:sz w:val="24"/>
        </w:rPr>
      </w:pPr>
      <w:r>
        <w:rPr>
          <w:rFonts w:hint="eastAsia" w:ascii="宋体" w:hAnsi="宋体" w:cs="宋体"/>
          <w:b/>
          <w:bCs/>
          <w:spacing w:val="4"/>
          <w:sz w:val="24"/>
        </w:rPr>
        <w:t>6.结算方式及期限：</w:t>
      </w:r>
      <w:r>
        <w:rPr>
          <w:rFonts w:hint="eastAsia" w:ascii="宋体" w:hAnsi="宋体" w:cs="宋体"/>
          <w:spacing w:val="4"/>
          <w:sz w:val="24"/>
        </w:rPr>
        <w:t>银行转账。在乙方按时、按合同量交付桉树复合肥料，且经甲方验收合格后，双方结算货款，</w:t>
      </w:r>
      <w:r>
        <w:rPr>
          <w:rFonts w:hint="eastAsia" w:ascii="宋体" w:hAnsi="宋体" w:cs="宋体"/>
          <w:color w:val="auto"/>
          <w:spacing w:val="4"/>
          <w:sz w:val="24"/>
        </w:rPr>
        <w:t>乙方向甲方提交与结算货款等额的</w:t>
      </w:r>
      <w:r>
        <w:rPr>
          <w:rFonts w:hint="eastAsia" w:ascii="宋体" w:hAnsi="宋体" w:cs="宋体"/>
          <w:color w:val="auto"/>
          <w:spacing w:val="4"/>
          <w:sz w:val="24"/>
          <w:lang w:eastAsia="zh-CN"/>
        </w:rPr>
        <w:t>增值税普通</w:t>
      </w:r>
      <w:r>
        <w:rPr>
          <w:rFonts w:hint="eastAsia" w:ascii="宋体" w:hAnsi="宋体" w:cs="宋体"/>
          <w:color w:val="auto"/>
          <w:spacing w:val="4"/>
          <w:sz w:val="24"/>
        </w:rPr>
        <w:t>发票，甲方在收到发票的10个工作日内将货款支付给乙方。</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乙方指定收款账户为本合同载明的乙方账户。</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98" w:firstLineChars="200"/>
        <w:textAlignment w:val="auto"/>
        <w:rPr>
          <w:rFonts w:hint="eastAsia" w:ascii="宋体" w:hAnsi="宋体" w:cs="宋体"/>
          <w:b/>
          <w:bCs/>
          <w:spacing w:val="4"/>
          <w:sz w:val="24"/>
        </w:rPr>
      </w:pPr>
      <w:r>
        <w:rPr>
          <w:rFonts w:hint="eastAsia" w:cs="宋体"/>
          <w:b/>
          <w:bCs w:val="0"/>
          <w:spacing w:val="4"/>
          <w:sz w:val="24"/>
          <w:lang w:val="en-US" w:eastAsia="zh-CN"/>
        </w:rPr>
        <w:t>7.</w:t>
      </w:r>
      <w:r>
        <w:rPr>
          <w:rFonts w:hint="eastAsia" w:cs="宋体"/>
          <w:b w:val="0"/>
          <w:bCs/>
          <w:spacing w:val="4"/>
          <w:sz w:val="24"/>
          <w:lang w:val="en-US" w:eastAsia="zh-CN"/>
        </w:rPr>
        <w:t>成交后乙方交纳的交易保证金扣除支付给广西林控互联网平台服务费后的余额             元（￥          ），待乙方履约完毕后，甲方在7个工作日内退还给乙方。</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lang w:val="en-US" w:eastAsia="zh-CN"/>
        </w:rPr>
        <w:t>8</w:t>
      </w:r>
      <w:r>
        <w:rPr>
          <w:rFonts w:hint="eastAsia" w:ascii="宋体" w:hAnsi="宋体" w:cs="宋体"/>
          <w:b/>
          <w:bCs/>
          <w:spacing w:val="4"/>
          <w:sz w:val="24"/>
        </w:rPr>
        <w:t>.其它约定事项：</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（1）根据甲方的实际生产经营情况，甲方需求的货物数量有可能增加或减少，双方按实际交货数量结算，乙方对此予以认可且不得以交货数量问题向甲方提出任何主张或索赔。</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（2）为保证产品质量，甲方在使用过程中有权随机抽样检验。乙方收到甲方抽检通知后，按照甲方的要求派员到指定抽样现场，由</w:t>
      </w:r>
      <w:r>
        <w:rPr>
          <w:rFonts w:ascii="宋体" w:hAnsi="宋体" w:cs="宋体"/>
          <w:spacing w:val="4"/>
          <w:sz w:val="24"/>
        </w:rPr>
        <w:t>甲乙双方人员共同</w:t>
      </w:r>
      <w:r>
        <w:rPr>
          <w:rFonts w:hint="eastAsia" w:ascii="宋体" w:hAnsi="宋体" w:cs="宋体"/>
          <w:spacing w:val="4"/>
          <w:sz w:val="24"/>
        </w:rPr>
        <w:t>采样，并由甲方送到有资质的检测机构检测，检测结果未达到本合同第1点约定的质量要求的，按以下方式处理：</w:t>
      </w:r>
    </w:p>
    <w:p>
      <w:pPr>
        <w:tabs>
          <w:tab w:val="left" w:pos="840"/>
        </w:tabs>
        <w:spacing w:line="460" w:lineRule="exact"/>
        <w:ind w:firstLine="480" w:firstLineChars="200"/>
        <w:rPr>
          <w:rFonts w:ascii="宋体" w:hAnsi="宋体" w:cs="宋体"/>
          <w:sz w:val="24"/>
        </w:rPr>
      </w:pPr>
      <w:r>
        <w:rPr>
          <w:rFonts w:hint="eastAsia" w:ascii="宋体" w:hAnsi="宋体" w:cs="宋体"/>
          <w:sz w:val="24"/>
        </w:rPr>
        <w:t>检测结果任一项未达到本合同第1点约定的质量要求的，复检费用由乙方承担。</w:t>
      </w:r>
    </w:p>
    <w:p>
      <w:pPr>
        <w:tabs>
          <w:tab w:val="left" w:pos="840"/>
        </w:tabs>
        <w:spacing w:line="460" w:lineRule="exact"/>
        <w:ind w:firstLine="480" w:firstLineChars="200"/>
        <w:rPr>
          <w:rFonts w:ascii="宋体" w:hAnsi="宋体" w:cs="宋体"/>
          <w:color w:val="auto"/>
          <w:spacing w:val="4"/>
          <w:sz w:val="24"/>
        </w:rPr>
      </w:pPr>
      <w:r>
        <w:rPr>
          <w:rFonts w:hint="eastAsia" w:ascii="宋体" w:hAnsi="宋体" w:cs="宋体"/>
          <w:color w:val="auto"/>
          <w:sz w:val="24"/>
        </w:rPr>
        <w:t>Zn+B含量每降低25ppm，则扣减</w:t>
      </w:r>
      <w:r>
        <w:rPr>
          <w:rFonts w:hint="eastAsia" w:ascii="宋体" w:hAnsi="宋体" w:cs="宋体"/>
          <w:color w:val="auto"/>
          <w:spacing w:val="4"/>
          <w:sz w:val="24"/>
        </w:rPr>
        <w:t>肥料款50元/吨；第1点约定的</w:t>
      </w:r>
      <w:r>
        <w:rPr>
          <w:rFonts w:hint="eastAsia" w:ascii="宋体" w:hAnsi="宋体" w:cs="宋体"/>
          <w:color w:val="auto"/>
          <w:sz w:val="24"/>
        </w:rPr>
        <w:t>其他项目</w:t>
      </w:r>
      <w:r>
        <w:rPr>
          <w:rFonts w:hint="eastAsia" w:ascii="宋体" w:hAnsi="宋体" w:cs="宋体"/>
          <w:color w:val="auto"/>
          <w:spacing w:val="4"/>
          <w:sz w:val="24"/>
        </w:rPr>
        <w:t>指标（指</w:t>
      </w:r>
      <w:r>
        <w:rPr>
          <w:rFonts w:hint="eastAsia" w:ascii="宋体" w:hAnsi="宋体" w:cs="宋体"/>
          <w:color w:val="auto"/>
          <w:sz w:val="24"/>
        </w:rPr>
        <w:t>Zn+B以外的其他项目指标</w:t>
      </w:r>
      <w:r>
        <w:rPr>
          <w:rFonts w:hint="eastAsia" w:ascii="宋体" w:hAnsi="宋体" w:cs="宋体"/>
          <w:color w:val="auto"/>
          <w:spacing w:val="4"/>
          <w:sz w:val="24"/>
        </w:rPr>
        <w:t>）每降低0.5个百分点，</w:t>
      </w:r>
      <w:r>
        <w:rPr>
          <w:rFonts w:hint="eastAsia" w:ascii="宋体" w:hAnsi="宋体" w:cs="宋体"/>
          <w:color w:val="auto"/>
          <w:sz w:val="24"/>
        </w:rPr>
        <w:t>则每项扣减</w:t>
      </w:r>
      <w:r>
        <w:rPr>
          <w:rFonts w:hint="eastAsia" w:ascii="宋体" w:hAnsi="宋体" w:cs="宋体"/>
          <w:color w:val="auto"/>
          <w:spacing w:val="4"/>
          <w:sz w:val="24"/>
        </w:rPr>
        <w:t>肥料款50元/吨。如检测结果的总养分指标低于质量要求2个百分点以上，甲方有权选择退还未使用的货物，该批次货物的保管费、装卸费用等均由乙方自行承担（如产生运输费由乙方承担）；甲方已经使用的货物，甲方不负返还义务也无需支付货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如经甲方通知乙方派人到指定地点参加抽样，而乙方未安排人员按时到场的，甲方有权单方抽样送检，乙方不得以乙方未到场为由否认此次检测结果，甲方有权以此次检测结果对乙方进行扣款或退货。乙方提供的肥料尽可能是同一批次生产，减少抽样送检次数。</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3）除战争、自然灾害、疫情等不可抗力的情况外，如乙方不能按甲方要求的时间供应本合同约定质量标准的肥料，每逾期一天，甲方有权要求乙方按照逾期交付货物金额千分之二的标准支付违约金，违约金无法弥补甲方损失的，乙方应赔偿甲方遭受的损失。乙方提供的货物未达到本合同约定标准的，甲方有权要求乙方换货或退货，甲方退货的，乙方应按该批次未达标货物价款5%的标准向甲方支付违约金，违约金无法弥补甲方损失的，乙方应赔偿甲方遭受的损失。</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（4）如乙方逾期交付达两次（含本数以上）或提供的肥料经核实两次（含本数）以上不达到质量要求的，甲方有权单方解除本合同，并有权不向乙方支付</w:t>
      </w:r>
      <w:r>
        <w:rPr>
          <w:rFonts w:hint="eastAsia" w:ascii="宋体" w:hAnsi="宋体" w:cs="宋体"/>
          <w:spacing w:val="4"/>
          <w:sz w:val="24"/>
          <w:lang w:eastAsia="zh-CN"/>
        </w:rPr>
        <w:t>逾期交付货物</w:t>
      </w:r>
      <w:r>
        <w:rPr>
          <w:rFonts w:hint="eastAsia" w:ascii="宋体" w:hAnsi="宋体" w:cs="宋体"/>
          <w:spacing w:val="4"/>
          <w:sz w:val="24"/>
        </w:rPr>
        <w:t>货款或不达质量要求货物相应货款。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（5）因乙方违约产生的违约金或赔偿金，甲方有权从未付货款中直接扣除。</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（6）甲方应按照合同约定向乙方支付货款，如甲方不能按约定向乙方支付货款的，每逾期一天，乙方有权要求甲方按照逾期支付金额千分之二的标准支付违约金。</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（7）甲方应按照约定接收货物，如因甲方原因导致货物交付不能的，货物风险由甲方承担并承担因此而产生的保费管、装卸费、运输费。</w:t>
      </w:r>
    </w:p>
    <w:p>
      <w:pPr>
        <w:tabs>
          <w:tab w:val="left" w:pos="840"/>
        </w:tabs>
        <w:spacing w:line="460" w:lineRule="exact"/>
        <w:ind w:firstLine="496" w:firstLineChars="200"/>
        <w:rPr>
          <w:rFonts w:ascii="宋体" w:hAnsi="宋体" w:cs="宋体"/>
          <w:kern w:val="0"/>
          <w:sz w:val="24"/>
        </w:rPr>
      </w:pPr>
      <w:r>
        <w:rPr>
          <w:rFonts w:hint="eastAsia" w:ascii="宋体" w:hAnsi="宋体" w:cs="宋体"/>
          <w:spacing w:val="4"/>
          <w:sz w:val="24"/>
        </w:rPr>
        <w:t>（8）</w:t>
      </w:r>
      <w:r>
        <w:rPr>
          <w:rFonts w:hint="eastAsia" w:ascii="宋体" w:hAnsi="宋体" w:cs="宋体"/>
          <w:kern w:val="0"/>
          <w:sz w:val="24"/>
        </w:rPr>
        <w:t>新冠肺炎疫情防控期间，</w:t>
      </w:r>
      <w:r>
        <w:rPr>
          <w:rFonts w:hint="eastAsia" w:ascii="宋体" w:hAnsi="宋体" w:cs="宋体"/>
          <w:spacing w:val="4"/>
          <w:sz w:val="24"/>
        </w:rPr>
        <w:t>乙方应自行提前了解并根据</w:t>
      </w:r>
      <w:r>
        <w:rPr>
          <w:rFonts w:hint="eastAsia" w:ascii="宋体" w:hAnsi="宋体" w:cs="宋体"/>
          <w:kern w:val="0"/>
          <w:sz w:val="24"/>
        </w:rPr>
        <w:t>当地相关部门</w:t>
      </w:r>
      <w:r>
        <w:rPr>
          <w:rFonts w:hint="eastAsia" w:ascii="宋体" w:hAnsi="宋体" w:cs="宋体"/>
          <w:spacing w:val="4"/>
          <w:sz w:val="24"/>
        </w:rPr>
        <w:t>疫情防控工作要求，</w:t>
      </w:r>
      <w:r>
        <w:rPr>
          <w:rFonts w:hint="eastAsia" w:ascii="宋体" w:hAnsi="宋体" w:cs="宋体"/>
          <w:kern w:val="0"/>
          <w:sz w:val="24"/>
        </w:rPr>
        <w:t>严格</w:t>
      </w:r>
      <w:r>
        <w:rPr>
          <w:rFonts w:hint="eastAsia" w:ascii="宋体" w:hAnsi="宋体" w:cs="宋体"/>
          <w:spacing w:val="4"/>
          <w:sz w:val="24"/>
        </w:rPr>
        <w:t>做好肥料生产和运输相关人员的防疫工作，由此产生的费用由乙方负责，</w:t>
      </w:r>
      <w:r>
        <w:rPr>
          <w:rFonts w:hint="eastAsia" w:ascii="宋体" w:hAnsi="宋体" w:cs="宋体"/>
          <w:kern w:val="0"/>
          <w:sz w:val="24"/>
        </w:rPr>
        <w:t>如因</w:t>
      </w:r>
      <w:r>
        <w:rPr>
          <w:rFonts w:hint="eastAsia" w:ascii="宋体" w:hAnsi="宋体" w:cs="宋体"/>
          <w:spacing w:val="4"/>
          <w:sz w:val="24"/>
        </w:rPr>
        <w:t>乙</w:t>
      </w:r>
      <w:r>
        <w:rPr>
          <w:rFonts w:hint="eastAsia" w:ascii="宋体" w:hAnsi="宋体" w:cs="宋体"/>
          <w:kern w:val="0"/>
          <w:sz w:val="24"/>
        </w:rPr>
        <w:t>方人员导致的疫情防控责任或不符合防疫要求导致的逾期由</w:t>
      </w:r>
      <w:r>
        <w:rPr>
          <w:rFonts w:hint="eastAsia" w:ascii="宋体" w:hAnsi="宋体" w:cs="宋体"/>
          <w:spacing w:val="4"/>
          <w:sz w:val="24"/>
        </w:rPr>
        <w:t>乙</w:t>
      </w:r>
      <w:r>
        <w:rPr>
          <w:rFonts w:hint="eastAsia" w:ascii="宋体" w:hAnsi="宋体" w:cs="宋体"/>
          <w:kern w:val="0"/>
          <w:sz w:val="24"/>
        </w:rPr>
        <w:t>方自行承担。</w:t>
      </w:r>
    </w:p>
    <w:p>
      <w:pPr>
        <w:tabs>
          <w:tab w:val="left" w:pos="840"/>
        </w:tabs>
        <w:spacing w:line="460" w:lineRule="exact"/>
        <w:ind w:firstLine="480" w:firstLineChars="200"/>
        <w:rPr>
          <w:rFonts w:ascii="宋体" w:hAnsi="宋体" w:cs="宋体"/>
          <w:sz w:val="24"/>
          <w:highlight w:val="none"/>
        </w:rPr>
      </w:pPr>
      <w:r>
        <w:rPr>
          <w:rFonts w:hint="eastAsia" w:ascii="宋体" w:hAnsi="宋体" w:cs="宋体"/>
          <w:kern w:val="0"/>
          <w:sz w:val="24"/>
          <w:highlight w:val="none"/>
        </w:rPr>
        <w:t>（9）若乙方上调本合同肥料单价或非因甲方原因停止供货，甲方有权要求乙方继续履行合同或单方解除合同，并有权要求乙方支付本合同总货款金额</w:t>
      </w:r>
      <w:r>
        <w:rPr>
          <w:rFonts w:hint="eastAsia" w:ascii="宋体" w:hAnsi="宋体" w:cs="宋体"/>
          <w:kern w:val="0"/>
          <w:sz w:val="24"/>
          <w:highlight w:val="none"/>
          <w:lang w:val="en-US" w:eastAsia="zh-CN"/>
        </w:rPr>
        <w:t>10</w:t>
      </w:r>
      <w:r>
        <w:rPr>
          <w:rFonts w:hint="eastAsia" w:ascii="宋体" w:hAnsi="宋体" w:cs="宋体"/>
          <w:kern w:val="0"/>
          <w:sz w:val="24"/>
          <w:highlight w:val="none"/>
        </w:rPr>
        <w:t>%的违约金及赔偿甲方因乙方违反合同约定所遭受的一切损失（包括但不限于重新招标后肥料供货价格与本合同肥料价格的差价、诉讼费、律师代理费、鉴定费、公证费、合理的调查费等）。</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lang w:val="en-US" w:eastAsia="zh-CN"/>
        </w:rPr>
        <w:t>9</w:t>
      </w:r>
      <w:r>
        <w:rPr>
          <w:rFonts w:hint="eastAsia" w:ascii="宋体" w:hAnsi="宋体" w:cs="宋体"/>
          <w:b/>
          <w:bCs/>
          <w:spacing w:val="4"/>
          <w:sz w:val="24"/>
        </w:rPr>
        <w:t>.本合同在履行中发生争议，甲乙双方协商解决，协商未果的向甲方所在地人民法院起诉。</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lang w:val="en-US" w:eastAsia="zh-CN"/>
        </w:rPr>
        <w:t>10</w:t>
      </w:r>
      <w:r>
        <w:rPr>
          <w:rFonts w:hint="eastAsia" w:ascii="宋体" w:hAnsi="宋体" w:cs="宋体"/>
          <w:b/>
          <w:bCs/>
          <w:spacing w:val="4"/>
          <w:sz w:val="24"/>
        </w:rPr>
        <w:t>.通知、送达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本合同涉及的各类通知、函件等文件以及就本合同发生纠纷时相关文件、法律文书的送达地址及法律后果作如下约定:</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（1）甲方确认其有效的送达地址为南宁市壮锦大道33号颐和新园5号楼；指定的送达邮箱为：</w:t>
      </w:r>
      <w:r>
        <w:rPr>
          <w:rFonts w:hint="eastAsia" w:ascii="仿宋_GB2312" w:hAnsi="仿宋_GB2312" w:eastAsia="仿宋_GB2312" w:cs="仿宋_GB2312"/>
          <w:sz w:val="32"/>
          <w:szCs w:val="32"/>
          <w:u w:val="single"/>
          <w:lang w:val="en-US" w:eastAsia="zh-CN"/>
        </w:rPr>
        <w:t xml:space="preserve">   </w:t>
      </w:r>
      <w:r>
        <w:rPr>
          <w:rFonts w:hint="eastAsia" w:ascii="宋体" w:hAnsi="宋体" w:cs="宋体"/>
          <w:spacing w:val="4"/>
          <w:sz w:val="24"/>
        </w:rPr>
        <w:t>；指定联系人：</w:t>
      </w:r>
      <w:r>
        <w:rPr>
          <w:rFonts w:hint="eastAsia" w:ascii="宋体" w:hAnsi="宋体" w:cs="宋体"/>
          <w:spacing w:val="4"/>
          <w:sz w:val="24"/>
          <w:u w:val="single"/>
          <w:lang w:val="en-US" w:eastAsia="zh-CN"/>
        </w:rPr>
        <w:t xml:space="preserve">     </w:t>
      </w:r>
      <w:r>
        <w:rPr>
          <w:rFonts w:hint="eastAsia" w:ascii="宋体" w:hAnsi="宋体" w:cs="宋体"/>
          <w:spacing w:val="4"/>
          <w:sz w:val="24"/>
        </w:rPr>
        <w:t>；联系电话：</w:t>
      </w:r>
      <w:r>
        <w:rPr>
          <w:rFonts w:hint="eastAsia" w:ascii="宋体" w:hAnsi="宋体" w:cs="宋体"/>
          <w:spacing w:val="4"/>
          <w:sz w:val="24"/>
          <w:u w:val="single"/>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lang w:eastAsia="zh-CN"/>
        </w:rPr>
        <w:t>；</w:t>
      </w:r>
      <w:r>
        <w:rPr>
          <w:rFonts w:hint="eastAsia" w:ascii="宋体" w:hAnsi="宋体" w:cs="宋体"/>
          <w:spacing w:val="4"/>
          <w:sz w:val="24"/>
        </w:rPr>
        <w:t>指定的送达微信为：</w:t>
      </w:r>
      <w:r>
        <w:rPr>
          <w:rFonts w:hint="eastAsia" w:ascii="宋体" w:hAnsi="宋体" w:cs="宋体"/>
          <w:spacing w:val="4"/>
          <w:sz w:val="24"/>
          <w:u w:val="single"/>
          <w:lang w:val="en-US" w:eastAsia="zh-CN"/>
        </w:rPr>
        <w:t xml:space="preserve">       </w:t>
      </w:r>
      <w:r>
        <w:rPr>
          <w:rFonts w:hint="eastAsia" w:ascii="宋体" w:hAnsi="宋体" w:cs="宋体"/>
          <w:spacing w:val="4"/>
          <w:sz w:val="24"/>
        </w:rPr>
        <w:t xml:space="preserve">； </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（2）乙方确认其有效的送达地址为：</w:t>
      </w:r>
      <w:r>
        <w:rPr>
          <w:rFonts w:hint="eastAsia" w:ascii="宋体" w:hAnsi="宋体" w:cs="宋体"/>
          <w:spacing w:val="4"/>
          <w:sz w:val="24"/>
          <w:u w:val="single"/>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 xml:space="preserve"> </w:t>
      </w:r>
      <w:r>
        <w:rPr>
          <w:rFonts w:hint="eastAsia" w:ascii="宋体" w:hAnsi="宋体" w:cs="宋体"/>
          <w:spacing w:val="4"/>
          <w:sz w:val="24"/>
        </w:rPr>
        <w:t>；指定的送达邮箱为：</w:t>
      </w:r>
      <w:r>
        <w:rPr>
          <w:rFonts w:hint="eastAsia" w:ascii="宋体" w:hAnsi="宋体" w:cs="宋体"/>
          <w:spacing w:val="4"/>
          <w:sz w:val="24"/>
          <w:u w:val="single"/>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rPr>
        <w:t>；指定联系人：</w:t>
      </w:r>
      <w:r>
        <w:rPr>
          <w:rFonts w:hint="eastAsia" w:ascii="宋体" w:hAnsi="宋体" w:cs="宋体"/>
          <w:spacing w:val="4"/>
          <w:sz w:val="24"/>
          <w:u w:val="single"/>
        </w:rPr>
        <w:t xml:space="preserve"> </w:t>
      </w:r>
      <w:r>
        <w:rPr>
          <w:rFonts w:hint="eastAsia" w:ascii="宋体" w:hAnsi="宋体" w:cs="宋体"/>
          <w:spacing w:val="4"/>
          <w:sz w:val="24"/>
          <w:u w:val="single"/>
          <w:lang w:val="en-US" w:eastAsia="zh-CN"/>
        </w:rPr>
        <w:t xml:space="preserve">   </w:t>
      </w:r>
      <w:r>
        <w:rPr>
          <w:rFonts w:hint="eastAsia" w:ascii="宋体" w:hAnsi="宋体" w:cs="宋体"/>
          <w:spacing w:val="4"/>
          <w:sz w:val="24"/>
        </w:rPr>
        <w:t>；联系电话：</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 xml:space="preserve"> </w:t>
      </w:r>
      <w:r>
        <w:rPr>
          <w:rFonts w:hint="eastAsia" w:ascii="宋体" w:hAnsi="宋体" w:cs="宋体"/>
          <w:spacing w:val="4"/>
          <w:sz w:val="24"/>
        </w:rPr>
        <w:t>，指定的送达微信为</w:t>
      </w:r>
      <w:r>
        <w:rPr>
          <w:rFonts w:hint="eastAsia" w:ascii="宋体" w:hAnsi="宋体" w:cs="宋体"/>
          <w:spacing w:val="4"/>
          <w:sz w:val="24"/>
          <w:u w:val="single"/>
        </w:rPr>
        <w:t>：</w:t>
      </w:r>
      <w:r>
        <w:rPr>
          <w:rFonts w:hint="eastAsia" w:ascii="宋体" w:hAnsi="宋体" w:cs="宋体"/>
          <w:spacing w:val="4"/>
          <w:sz w:val="24"/>
          <w:u w:val="single"/>
          <w:lang w:val="en-US" w:eastAsia="zh-CN"/>
        </w:rPr>
        <w:t xml:space="preserve">   </w:t>
      </w:r>
      <w:r>
        <w:rPr>
          <w:rFonts w:hint="eastAsia" w:ascii="宋体" w:hAnsi="宋体" w:cs="宋体"/>
          <w:spacing w:val="4"/>
          <w:sz w:val="24"/>
          <w:u w:val="single"/>
        </w:rPr>
        <w:t xml:space="preserve"> </w:t>
      </w:r>
      <w:r>
        <w:rPr>
          <w:rFonts w:hint="eastAsia" w:ascii="宋体" w:hAnsi="宋体" w:cs="宋体"/>
          <w:spacing w:val="4"/>
          <w:sz w:val="24"/>
        </w:rPr>
        <w:t xml:space="preserve">。 </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3）双方该送达地址、邮箱、微信适用范围包括但不限于各方非诉时各类通知、函件等文件以及就本合同发生纠纷时相关文件和法律文书的送达,同时包括在争议进入仲裁、民事诉讼程序后的一审、二审、再审和执行程序。</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（4）上述各类文书函件、通知等文件，如通过邮寄或快递送达的，发出之日起届满5日的当日视为送达；如通过电子邮件、手机短信、微信送达的，发出之日的当日视为送达。</w:t>
      </w:r>
    </w:p>
    <w:p>
      <w:pPr>
        <w:tabs>
          <w:tab w:val="left" w:pos="840"/>
        </w:tabs>
        <w:spacing w:line="460" w:lineRule="exact"/>
        <w:ind w:firstLine="496" w:firstLineChars="200"/>
        <w:rPr>
          <w:rFonts w:ascii="宋体" w:hAnsi="宋体" w:cs="宋体"/>
          <w:spacing w:val="4"/>
          <w:sz w:val="24"/>
        </w:rPr>
      </w:pPr>
      <w:r>
        <w:rPr>
          <w:rFonts w:hint="eastAsia" w:ascii="宋体" w:hAnsi="宋体" w:cs="宋体"/>
          <w:spacing w:val="4"/>
          <w:sz w:val="24"/>
        </w:rPr>
        <w:t>（5）甲、乙任何一方的送达地址、邮箱、微信需要变更时应当履行通知义务,且应至少提前五个工作日通知另一方后方能启用，否则视为没有变更。</w:t>
      </w:r>
    </w:p>
    <w:p>
      <w:pPr>
        <w:tabs>
          <w:tab w:val="left" w:pos="840"/>
        </w:tabs>
        <w:spacing w:line="460" w:lineRule="exact"/>
        <w:ind w:firstLine="498" w:firstLineChars="200"/>
        <w:rPr>
          <w:rFonts w:ascii="宋体" w:hAnsi="宋体" w:cs="宋体"/>
          <w:b/>
          <w:bCs/>
          <w:spacing w:val="4"/>
          <w:sz w:val="24"/>
        </w:rPr>
      </w:pPr>
      <w:r>
        <w:rPr>
          <w:rFonts w:hint="eastAsia" w:ascii="宋体" w:hAnsi="宋体" w:cs="宋体"/>
          <w:b/>
          <w:bCs/>
          <w:spacing w:val="4"/>
          <w:sz w:val="24"/>
        </w:rPr>
        <w:t>1</w:t>
      </w:r>
      <w:r>
        <w:rPr>
          <w:rFonts w:hint="eastAsia" w:ascii="宋体" w:hAnsi="宋体" w:cs="宋体"/>
          <w:b/>
          <w:bCs/>
          <w:spacing w:val="4"/>
          <w:sz w:val="24"/>
          <w:lang w:val="en-US" w:eastAsia="zh-CN"/>
        </w:rPr>
        <w:t>1</w:t>
      </w:r>
      <w:bookmarkStart w:id="0" w:name="_GoBack"/>
      <w:bookmarkEnd w:id="0"/>
      <w:r>
        <w:rPr>
          <w:rFonts w:hint="eastAsia" w:ascii="宋体" w:hAnsi="宋体" w:cs="宋体"/>
          <w:b/>
          <w:bCs/>
          <w:spacing w:val="4"/>
          <w:sz w:val="24"/>
        </w:rPr>
        <w:t>.本合同一式叁份，甲方执贰份，</w:t>
      </w:r>
      <w:r>
        <w:rPr>
          <w:rFonts w:ascii="宋体" w:hAnsi="宋体" w:cs="宋体"/>
          <w:b/>
          <w:bCs/>
          <w:spacing w:val="4"/>
          <w:sz w:val="24"/>
        </w:rPr>
        <w:t>乙</w:t>
      </w:r>
      <w:r>
        <w:rPr>
          <w:rFonts w:hint="eastAsia" w:ascii="宋体" w:hAnsi="宋体" w:cs="宋体"/>
          <w:b/>
          <w:bCs/>
          <w:spacing w:val="4"/>
          <w:sz w:val="24"/>
        </w:rPr>
        <w:t>方执壹份。合同自双方盖章并签字之日起生效。</w:t>
      </w:r>
    </w:p>
    <w:tbl>
      <w:tblPr>
        <w:tblStyle w:val="9"/>
        <w:tblpPr w:leftFromText="180" w:rightFromText="180" w:vertAnchor="text" w:horzAnchor="margin" w:tblpXSpec="center" w:tblpY="202"/>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9" w:type="dxa"/>
            <w:vAlign w:val="top"/>
          </w:tcPr>
          <w:p>
            <w:pPr>
              <w:spacing w:line="460" w:lineRule="exact"/>
              <w:jc w:val="center"/>
              <w:rPr>
                <w:rFonts w:ascii="宋体" w:hAnsi="宋体" w:cs="宋体"/>
                <w:b/>
                <w:szCs w:val="21"/>
              </w:rPr>
            </w:pPr>
            <w:r>
              <w:rPr>
                <w:rFonts w:hint="eastAsia" w:ascii="宋体" w:hAnsi="宋体" w:cs="宋体"/>
                <w:b/>
                <w:szCs w:val="21"/>
              </w:rPr>
              <w:t>甲      方</w:t>
            </w:r>
          </w:p>
          <w:p>
            <w:pPr>
              <w:spacing w:line="460" w:lineRule="exact"/>
              <w:ind w:right="-107" w:rightChars="-51"/>
              <w:rPr>
                <w:rFonts w:ascii="宋体" w:hAnsi="宋体" w:cs="宋体"/>
                <w:b/>
                <w:szCs w:val="21"/>
              </w:rPr>
            </w:pPr>
            <w:r>
              <w:rPr>
                <w:rFonts w:hint="eastAsia" w:ascii="宋体" w:hAnsi="宋体" w:cs="宋体"/>
                <w:b/>
                <w:szCs w:val="21"/>
              </w:rPr>
              <w:t>单位名称（章）：</w:t>
            </w:r>
          </w:p>
          <w:p>
            <w:pPr>
              <w:spacing w:line="460" w:lineRule="exact"/>
              <w:rPr>
                <w:rFonts w:hint="eastAsia" w:ascii="宋体" w:hAnsi="宋体" w:cs="宋体"/>
                <w:b/>
                <w:szCs w:val="21"/>
              </w:rPr>
            </w:pPr>
            <w:r>
              <w:rPr>
                <w:rFonts w:hint="eastAsia" w:ascii="宋体" w:hAnsi="宋体" w:cs="宋体"/>
                <w:b/>
                <w:szCs w:val="21"/>
              </w:rPr>
              <w:t>单位地址：</w:t>
            </w:r>
          </w:p>
          <w:p>
            <w:pPr>
              <w:spacing w:line="460" w:lineRule="exact"/>
              <w:rPr>
                <w:rFonts w:ascii="宋体" w:hAnsi="宋体" w:cs="宋体"/>
                <w:b/>
                <w:szCs w:val="21"/>
              </w:rPr>
            </w:pPr>
            <w:r>
              <w:rPr>
                <w:rFonts w:hint="eastAsia" w:ascii="宋体" w:hAnsi="宋体" w:cs="宋体"/>
                <w:b/>
                <w:szCs w:val="21"/>
              </w:rPr>
              <w:t>法定代表人（委托代理人）：</w:t>
            </w:r>
          </w:p>
          <w:p>
            <w:pPr>
              <w:spacing w:line="460" w:lineRule="exact"/>
              <w:rPr>
                <w:rFonts w:ascii="宋体" w:hAnsi="宋体" w:cs="宋体"/>
                <w:b/>
                <w:szCs w:val="21"/>
              </w:rPr>
            </w:pPr>
            <w:r>
              <w:rPr>
                <w:rFonts w:hint="eastAsia" w:ascii="宋体" w:hAnsi="宋体" w:cs="宋体"/>
                <w:b/>
                <w:szCs w:val="21"/>
              </w:rPr>
              <w:t>电    话：传    真：</w:t>
            </w:r>
          </w:p>
          <w:p>
            <w:pPr>
              <w:spacing w:line="460" w:lineRule="exact"/>
              <w:rPr>
                <w:rFonts w:hint="eastAsia" w:ascii="宋体" w:hAnsi="宋体" w:cs="宋体"/>
                <w:b/>
                <w:szCs w:val="21"/>
              </w:rPr>
            </w:pPr>
            <w:r>
              <w:rPr>
                <w:rFonts w:hint="eastAsia" w:ascii="宋体" w:hAnsi="宋体" w:cs="宋体"/>
                <w:b/>
                <w:szCs w:val="21"/>
              </w:rPr>
              <w:t>户    名：</w:t>
            </w:r>
          </w:p>
          <w:p>
            <w:pPr>
              <w:spacing w:line="460" w:lineRule="exact"/>
              <w:rPr>
                <w:rFonts w:ascii="宋体" w:hAnsi="宋体" w:cs="宋体"/>
                <w:b/>
                <w:szCs w:val="21"/>
              </w:rPr>
            </w:pPr>
            <w:r>
              <w:rPr>
                <w:rFonts w:hint="eastAsia" w:ascii="宋体" w:hAnsi="宋体" w:cs="宋体"/>
                <w:b/>
                <w:szCs w:val="21"/>
              </w:rPr>
              <w:t>开户银行：</w:t>
            </w:r>
          </w:p>
          <w:p>
            <w:pPr>
              <w:spacing w:line="460" w:lineRule="exact"/>
              <w:rPr>
                <w:rFonts w:ascii="宋体" w:hAnsi="宋体" w:cs="宋体"/>
                <w:b/>
                <w:szCs w:val="21"/>
              </w:rPr>
            </w:pPr>
            <w:r>
              <w:rPr>
                <w:rFonts w:hint="eastAsia" w:ascii="宋体" w:hAnsi="宋体" w:cs="宋体"/>
                <w:b/>
                <w:szCs w:val="21"/>
              </w:rPr>
              <w:t>账    号：</w:t>
            </w:r>
          </w:p>
        </w:tc>
        <w:tc>
          <w:tcPr>
            <w:tcW w:w="5312" w:type="dxa"/>
            <w:vAlign w:val="top"/>
          </w:tcPr>
          <w:p>
            <w:pPr>
              <w:widowControl/>
              <w:spacing w:line="360" w:lineRule="auto"/>
              <w:jc w:val="center"/>
              <w:rPr>
                <w:rFonts w:ascii="宋体" w:hAnsi="宋体" w:cs="宋体"/>
                <w:b/>
                <w:szCs w:val="21"/>
              </w:rPr>
            </w:pPr>
            <w:r>
              <w:rPr>
                <w:rFonts w:hint="eastAsia" w:ascii="宋体" w:hAnsi="宋体" w:cs="宋体"/>
                <w:b/>
                <w:szCs w:val="21"/>
              </w:rPr>
              <w:t>乙      方</w:t>
            </w:r>
          </w:p>
          <w:p>
            <w:pPr>
              <w:widowControl/>
              <w:spacing w:line="360" w:lineRule="auto"/>
              <w:jc w:val="left"/>
              <w:rPr>
                <w:rFonts w:ascii="宋体" w:hAnsi="宋体" w:cs="宋体"/>
                <w:b/>
                <w:szCs w:val="21"/>
              </w:rPr>
            </w:pPr>
            <w:r>
              <w:rPr>
                <w:rFonts w:hint="eastAsia" w:ascii="宋体" w:hAnsi="宋体" w:cs="宋体"/>
                <w:b/>
                <w:szCs w:val="21"/>
              </w:rPr>
              <w:t>单位名称（章）：</w:t>
            </w:r>
          </w:p>
          <w:p>
            <w:pPr>
              <w:widowControl/>
              <w:spacing w:line="360" w:lineRule="auto"/>
              <w:jc w:val="left"/>
              <w:rPr>
                <w:rFonts w:ascii="宋体" w:hAnsi="宋体" w:cs="宋体"/>
                <w:b/>
                <w:szCs w:val="21"/>
              </w:rPr>
            </w:pPr>
            <w:r>
              <w:rPr>
                <w:rFonts w:hint="eastAsia" w:ascii="宋体" w:hAnsi="宋体" w:cs="宋体"/>
                <w:b/>
                <w:szCs w:val="21"/>
              </w:rPr>
              <w:t xml:space="preserve">单位地址：法定代表人（委托代理人）： </w:t>
            </w:r>
          </w:p>
          <w:p>
            <w:pPr>
              <w:widowControl/>
              <w:spacing w:line="360" w:lineRule="auto"/>
              <w:jc w:val="left"/>
              <w:rPr>
                <w:rFonts w:ascii="宋体" w:hAnsi="宋体" w:cs="宋体"/>
                <w:b/>
                <w:szCs w:val="21"/>
              </w:rPr>
            </w:pPr>
            <w:r>
              <w:rPr>
                <w:rFonts w:hint="eastAsia" w:ascii="宋体" w:hAnsi="宋体" w:cs="宋体"/>
                <w:b/>
                <w:szCs w:val="21"/>
              </w:rPr>
              <w:t>电    话：</w:t>
            </w:r>
          </w:p>
          <w:p>
            <w:pPr>
              <w:widowControl/>
              <w:spacing w:line="360" w:lineRule="auto"/>
              <w:jc w:val="left"/>
              <w:rPr>
                <w:rFonts w:ascii="宋体" w:hAnsi="宋体" w:cs="宋体"/>
                <w:b/>
                <w:szCs w:val="21"/>
              </w:rPr>
            </w:pPr>
            <w:r>
              <w:rPr>
                <w:rFonts w:hint="eastAsia" w:ascii="宋体" w:hAnsi="宋体" w:cs="宋体"/>
                <w:b/>
                <w:szCs w:val="21"/>
              </w:rPr>
              <w:t xml:space="preserve">传    真： </w:t>
            </w:r>
          </w:p>
          <w:p>
            <w:pPr>
              <w:widowControl/>
              <w:spacing w:line="360" w:lineRule="auto"/>
              <w:jc w:val="left"/>
              <w:rPr>
                <w:rFonts w:hint="eastAsia" w:ascii="宋体" w:hAnsi="宋体" w:cs="宋体"/>
                <w:b/>
                <w:szCs w:val="21"/>
              </w:rPr>
            </w:pPr>
            <w:r>
              <w:rPr>
                <w:rFonts w:hint="eastAsia" w:ascii="宋体" w:hAnsi="宋体" w:cs="宋体"/>
                <w:b/>
                <w:szCs w:val="21"/>
              </w:rPr>
              <w:t>户    名：</w:t>
            </w:r>
          </w:p>
          <w:p>
            <w:pPr>
              <w:widowControl/>
              <w:spacing w:line="360" w:lineRule="auto"/>
              <w:jc w:val="left"/>
              <w:rPr>
                <w:rFonts w:ascii="宋体" w:hAnsi="宋体" w:cs="宋体"/>
                <w:b/>
                <w:szCs w:val="21"/>
              </w:rPr>
            </w:pPr>
            <w:r>
              <w:rPr>
                <w:rFonts w:hint="eastAsia" w:ascii="宋体" w:hAnsi="宋体" w:cs="宋体"/>
                <w:b/>
                <w:szCs w:val="21"/>
              </w:rPr>
              <w:t>开户银行：</w:t>
            </w:r>
          </w:p>
          <w:p>
            <w:pPr>
              <w:widowControl/>
              <w:spacing w:line="360" w:lineRule="auto"/>
              <w:jc w:val="left"/>
              <w:rPr>
                <w:rFonts w:ascii="宋体" w:hAnsi="宋体" w:cs="宋体"/>
                <w:kern w:val="0"/>
                <w:szCs w:val="21"/>
              </w:rPr>
            </w:pPr>
            <w:r>
              <w:rPr>
                <w:rFonts w:hint="eastAsia" w:ascii="宋体" w:hAnsi="宋体" w:cs="宋体"/>
                <w:b/>
                <w:szCs w:val="21"/>
              </w:rPr>
              <w:t>账    号：</w:t>
            </w:r>
          </w:p>
        </w:tc>
      </w:tr>
    </w:tbl>
    <w:p>
      <w:pPr>
        <w:rPr>
          <w:rFonts w:ascii="宋体" w:hAnsi="宋体" w:cs="宋体"/>
        </w:rPr>
      </w:pPr>
    </w:p>
    <w:sectPr>
      <w:footerReference r:id="rId3" w:type="default"/>
      <w:pgSz w:w="11906" w:h="16838"/>
      <w:pgMar w:top="1134" w:right="1134" w:bottom="1134" w:left="1134" w:header="397" w:footer="227" w:gutter="0"/>
      <w:pgNumType w:fmt="numberInDash"/>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N2IzNWY5YTcxNjMwOWZjNTViZTFhNzQyMWVmYmQifQ=="/>
  </w:docVars>
  <w:rsids>
    <w:rsidRoot w:val="00000000"/>
    <w:rsid w:val="101A606C"/>
    <w:rsid w:val="14DE5407"/>
    <w:rsid w:val="166C5148"/>
    <w:rsid w:val="25A95A70"/>
    <w:rsid w:val="25C24D84"/>
    <w:rsid w:val="2A247DBB"/>
    <w:rsid w:val="38EE7A46"/>
    <w:rsid w:val="3AAF36D1"/>
    <w:rsid w:val="3C456863"/>
    <w:rsid w:val="47F23826"/>
    <w:rsid w:val="51BE3C36"/>
    <w:rsid w:val="53400F13"/>
    <w:rsid w:val="549F7EBB"/>
    <w:rsid w:val="5F084FD6"/>
    <w:rsid w:val="686C42B2"/>
    <w:rsid w:val="6F8566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Indent 2"/>
    <w:basedOn w:val="1"/>
    <w:qFormat/>
    <w:uiPriority w:val="0"/>
    <w:pPr>
      <w:snapToGrid w:val="0"/>
      <w:spacing w:beforeLines="50" w:line="276" w:lineRule="auto"/>
      <w:ind w:firstLine="538" w:firstLineChars="210"/>
    </w:pPr>
    <w:rPr>
      <w:rFonts w:ascii="宋体" w:hAnsi="宋体"/>
      <w:sz w:val="26"/>
    </w:rPr>
  </w:style>
  <w:style w:type="paragraph" w:styleId="5">
    <w:name w:val="Balloon Text"/>
    <w:basedOn w:val="1"/>
    <w:link w:val="16"/>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paragraph" w:customStyle="1" w:styleId="13">
    <w:name w:val="Revision_a13fdc3f-4edc-4ae0-98af-bf602934e830"/>
    <w:qFormat/>
    <w:uiPriority w:val="99"/>
    <w:rPr>
      <w:rFonts w:ascii="Times New Roman" w:hAnsi="Times New Roman" w:eastAsia="宋体" w:cs="Times New Roman"/>
      <w:kern w:val="2"/>
      <w:sz w:val="21"/>
      <w:szCs w:val="24"/>
      <w:lang w:val="en-US" w:eastAsia="zh-CN" w:bidi="ar-SA"/>
    </w:rPr>
  </w:style>
  <w:style w:type="paragraph" w:customStyle="1" w:styleId="14">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15">
    <w:name w:val="p0"/>
    <w:basedOn w:val="1"/>
    <w:qFormat/>
    <w:uiPriority w:val="0"/>
    <w:pPr>
      <w:widowControl/>
    </w:pPr>
    <w:rPr>
      <w:kern w:val="0"/>
    </w:rPr>
  </w:style>
  <w:style w:type="character" w:customStyle="1" w:styleId="16">
    <w:name w:val="批注框文本 字符"/>
    <w:link w:val="5"/>
    <w:qFormat/>
    <w:uiPriority w:val="0"/>
    <w:rPr>
      <w:kern w:val="2"/>
      <w:sz w:val="18"/>
      <w:szCs w:val="18"/>
    </w:rPr>
  </w:style>
  <w:style w:type="character" w:customStyle="1" w:styleId="17">
    <w:name w:val="批注文字 字符"/>
    <w:link w:val="3"/>
    <w:qFormat/>
    <w:uiPriority w:val="0"/>
    <w:rPr>
      <w:kern w:val="2"/>
      <w:sz w:val="21"/>
      <w:szCs w:val="24"/>
    </w:rPr>
  </w:style>
  <w:style w:type="character" w:customStyle="1" w:styleId="18">
    <w:name w:val="批注主题 字符"/>
    <w:link w:val="8"/>
    <w:qFormat/>
    <w:uiPriority w:val="0"/>
    <w:rPr>
      <w:b/>
      <w:bCs/>
      <w:kern w:val="2"/>
      <w:sz w:val="21"/>
      <w:szCs w:val="24"/>
    </w:rPr>
  </w:style>
  <w:style w:type="character" w:customStyle="1" w:styleId="19">
    <w:name w:val="页脚 字符"/>
    <w:link w:val="6"/>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636</Words>
  <Characters>3631</Characters>
  <Lines>30</Lines>
  <Paragraphs>8</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2020-03-05T10:48:00Z</dcterms:created>
  <dc:creator>韦雄斌</dc:creator>
  <cp:lastModifiedBy>黄木榕</cp:lastModifiedBy>
  <cp:lastPrinted>2022-05-16T02:32:00Z</cp:lastPrinted>
  <dcterms:modified xsi:type="dcterms:W3CDTF">2023-01-19T07:50:52Z</dcterms:modified>
  <dc:title>桉树复混肥料购销合同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CD5E8982FCD246E28CB51442DBAB7A26</vt:lpwstr>
  </property>
</Properties>
</file>