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化肥购销合同</w:t>
      </w:r>
    </w:p>
    <w:p>
      <w:pPr>
        <w:spacing w:line="4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合同编号</w:t>
      </w:r>
    </w:p>
    <w:p>
      <w:pPr>
        <w:spacing w:line="44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sz w:val="24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 xml:space="preserve"> 甲方（供方）：</w:t>
      </w:r>
    </w:p>
    <w:p>
      <w:pPr>
        <w:spacing w:line="440" w:lineRule="exact"/>
        <w:rPr>
          <w:rFonts w:ascii="黑体" w:hAnsi="黑体" w:eastAsia="黑体"/>
          <w:b/>
          <w:sz w:val="28"/>
          <w:szCs w:val="28"/>
        </w:rPr>
      </w:pPr>
    </w:p>
    <w:p>
      <w:pPr>
        <w:spacing w:line="440" w:lineRule="exact"/>
        <w:rPr>
          <w:rFonts w:hint="default" w:ascii="仿宋_GB2312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 xml:space="preserve">   乙方（购方）：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广西国控林业投资股份有限公司</w:t>
      </w:r>
    </w:p>
    <w:p>
      <w:pPr>
        <w:spacing w:line="440" w:lineRule="exact"/>
        <w:rPr>
          <w:rFonts w:ascii="仿宋_GB2312" w:eastAsia="仿宋_GB2312"/>
          <w:color w:val="FF0000"/>
          <w:sz w:val="24"/>
        </w:rPr>
      </w:pP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根据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202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</w:rPr>
        <w:t>月    日</w:t>
      </w:r>
      <w:r>
        <w:rPr>
          <w:rFonts w:hint="eastAsia" w:ascii="仿宋" w:hAnsi="仿宋" w:eastAsia="仿宋" w:cs="仿宋"/>
          <w:sz w:val="24"/>
        </w:rPr>
        <w:t>（第    期）</w:t>
      </w:r>
      <w:r>
        <w:rPr>
          <w:rFonts w:hint="eastAsia" w:ascii="仿宋" w:hAnsi="仿宋" w:eastAsia="仿宋" w:cs="仿宋"/>
          <w:color w:val="000000"/>
          <w:sz w:val="24"/>
        </w:rPr>
        <w:t>广西林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控互联网平台</w:t>
      </w:r>
      <w:r>
        <w:rPr>
          <w:rFonts w:hint="eastAsia" w:ascii="仿宋" w:hAnsi="仿宋" w:eastAsia="仿宋" w:cs="仿宋"/>
          <w:color w:val="000000"/>
          <w:sz w:val="24"/>
        </w:rPr>
        <w:t>有限公司公开电子竞价交易结果，乙方向甲方采购化肥，经双方协商就化肥购销达成如下协议：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1、采购的化肥产品名称、商标、质量指标、数量、价格、金额：</w:t>
      </w:r>
    </w:p>
    <w:tbl>
      <w:tblPr>
        <w:tblStyle w:val="5"/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51"/>
        <w:gridCol w:w="992"/>
        <w:gridCol w:w="2977"/>
        <w:gridCol w:w="992"/>
        <w:gridCol w:w="1134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名称</w:t>
            </w: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产地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商标</w:t>
            </w:r>
          </w:p>
        </w:tc>
        <w:tc>
          <w:tcPr>
            <w:tcW w:w="297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质量标准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包装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规格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含税价格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（元/吨）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数量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（吨）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金额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bookmarkStart w:id="1" w:name="_GoBack" w:colFirst="5" w:colLast="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生物有机肥</w:t>
            </w: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</w:rPr>
              <w:t>广西宜州市/广西田东县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</w:rPr>
              <w:t>中有品牌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Style w:val="9"/>
                <w:lang w:val="en-US" w:eastAsia="zh-CN" w:bidi="ar"/>
              </w:rPr>
              <w:t>有机质</w:t>
            </w:r>
            <w:r>
              <w:rPr>
                <w:rStyle w:val="10"/>
                <w:rFonts w:eastAsia="黑体"/>
                <w:lang w:val="en-US" w:eastAsia="zh-CN" w:bidi="ar"/>
              </w:rPr>
              <w:t>≥40%</w:t>
            </w:r>
            <w:r>
              <w:rPr>
                <w:rStyle w:val="9"/>
                <w:lang w:val="en-US" w:eastAsia="zh-CN" w:bidi="ar"/>
              </w:rPr>
              <w:t>，有效活菌数</w:t>
            </w:r>
            <w:r>
              <w:rPr>
                <w:rStyle w:val="10"/>
                <w:rFonts w:eastAsia="黑体"/>
                <w:lang w:val="en-US" w:eastAsia="zh-CN" w:bidi="ar"/>
              </w:rPr>
              <w:t>≥2</w:t>
            </w:r>
            <w:r>
              <w:rPr>
                <w:rStyle w:val="9"/>
                <w:lang w:val="en-US" w:eastAsia="zh-CN" w:bidi="ar"/>
              </w:rPr>
              <w:t>亿</w:t>
            </w:r>
            <w:r>
              <w:rPr>
                <w:rStyle w:val="10"/>
                <w:rFonts w:eastAsia="黑体"/>
                <w:lang w:val="en-US" w:eastAsia="zh-CN" w:bidi="ar"/>
              </w:rPr>
              <w:t>/g</w:t>
            </w:r>
            <w:r>
              <w:rPr>
                <w:rStyle w:val="11"/>
                <w:lang w:val="en-US" w:eastAsia="zh-CN" w:bidi="ar"/>
              </w:rPr>
              <w:t>，</w:t>
            </w:r>
            <w:r>
              <w:rPr>
                <w:rStyle w:val="9"/>
                <w:lang w:val="en-US" w:eastAsia="zh-CN" w:bidi="ar"/>
              </w:rPr>
              <w:t>国储林地力提升工程用肥</w:t>
            </w:r>
            <w:r>
              <w:rPr>
                <w:rStyle w:val="12"/>
                <w:rFonts w:hAnsi="宋体"/>
                <w:lang w:val="en-US" w:eastAsia="zh-CN" w:bidi="ar"/>
              </w:rPr>
              <w:t>，</w:t>
            </w:r>
            <w:r>
              <w:rPr>
                <w:rStyle w:val="10"/>
                <w:rFonts w:eastAsia="黑体"/>
                <w:lang w:val="en-US" w:eastAsia="zh-CN" w:bidi="ar"/>
              </w:rPr>
              <w:t>pH7-8.5</w:t>
            </w:r>
            <w:r>
              <w:rPr>
                <w:rStyle w:val="11"/>
                <w:lang w:val="en-US" w:eastAsia="zh-CN" w:bidi="ar"/>
              </w:rPr>
              <w:t>，</w:t>
            </w:r>
            <w:r>
              <w:rPr>
                <w:rStyle w:val="13"/>
                <w:lang w:val="en-US" w:eastAsia="zh-CN" w:bidi="ar"/>
              </w:rPr>
              <w:t>氮磷钾为纯有机内源矿化营养元素</w:t>
            </w:r>
            <w:r>
              <w:rPr>
                <w:rStyle w:val="14"/>
                <w:lang w:val="en-US" w:eastAsia="zh-CN" w:bidi="ar"/>
              </w:rPr>
              <w:t>；</w:t>
            </w:r>
            <w:r>
              <w:rPr>
                <w:rStyle w:val="11"/>
                <w:lang w:val="en-US" w:eastAsia="zh-CN" w:bidi="ar"/>
              </w:rPr>
              <w:t>含氨基酸、腐殖酸、中微量元素、力源增效剂、保水剂等；</w:t>
            </w:r>
            <w:r>
              <w:rPr>
                <w:rStyle w:val="13"/>
                <w:lang w:val="en-US" w:eastAsia="zh-CN" w:bidi="ar"/>
              </w:rPr>
              <w:t>基于土壤地力大数据+现场测土校验精准定制抗旱和生态改土套餐肥，适合林地土壤改良，有效解决林地缺水问题，加快树木的生长期，提高肥料利用率；产品形态要求为粉状或柱状颗粒；其他指标符合NY884-2012标准和企业标准。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25KG/包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1990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1640.1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3263799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有机无机复混肥</w:t>
            </w: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</w:rPr>
              <w:t>广西宜州市/广西田东县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</w:rPr>
              <w:t>中有品牌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Style w:val="10"/>
                <w:rFonts w:eastAsia="宋体"/>
                <w:lang w:val="en-US" w:eastAsia="zh-CN" w:bidi="ar"/>
              </w:rPr>
              <w:t>NPK≥20%</w:t>
            </w:r>
            <w:r>
              <w:rPr>
                <w:rStyle w:val="9"/>
                <w:lang w:val="en-US" w:eastAsia="zh-CN" w:bidi="ar"/>
              </w:rPr>
              <w:t>（</w:t>
            </w:r>
            <w:r>
              <w:rPr>
                <w:rStyle w:val="10"/>
                <w:rFonts w:eastAsia="宋体"/>
                <w:lang w:val="en-US" w:eastAsia="zh-CN" w:bidi="ar"/>
              </w:rPr>
              <w:t>10-4-6</w:t>
            </w:r>
            <w:r>
              <w:rPr>
                <w:rStyle w:val="9"/>
                <w:lang w:val="en-US" w:eastAsia="zh-CN" w:bidi="ar"/>
              </w:rPr>
              <w:t>），有机质</w:t>
            </w:r>
            <w:r>
              <w:rPr>
                <w:rStyle w:val="10"/>
                <w:rFonts w:eastAsia="宋体"/>
                <w:lang w:val="en-US" w:eastAsia="zh-CN" w:bidi="ar"/>
              </w:rPr>
              <w:t>≥20%</w:t>
            </w:r>
            <w:r>
              <w:rPr>
                <w:rStyle w:val="9"/>
                <w:lang w:val="en-US" w:eastAsia="zh-CN" w:bidi="ar"/>
              </w:rPr>
              <w:t>，国储林地力提升工程用肥</w:t>
            </w:r>
            <w:r>
              <w:rPr>
                <w:rStyle w:val="12"/>
                <w:rFonts w:hAnsi="Times New Roman"/>
                <w:lang w:val="en-US" w:eastAsia="zh-CN" w:bidi="ar"/>
              </w:rPr>
              <w:t>，</w:t>
            </w:r>
            <w:r>
              <w:rPr>
                <w:rStyle w:val="13"/>
                <w:lang w:val="en-US" w:eastAsia="zh-CN" w:bidi="ar"/>
              </w:rPr>
              <w:t>枸溶性磷，含氯(高氯)，含氨基酸、腐殖酸、中微量元素、力源增效剂，基于土壤地力大数据+现场测土校验精准定制的智能生态配方肥；产品形态要求为圆粒或柱状颗粒；其他指标符合GBT18877-2020标准和智能型肥料企业标准。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25KG/包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2890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55.2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159528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有机无机复混肥</w:t>
            </w: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</w:rPr>
              <w:t>广西宜州市/广西田东县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</w:rPr>
              <w:t>中有品牌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Style w:val="10"/>
                <w:rFonts w:eastAsia="宋体"/>
                <w:lang w:val="en-US" w:eastAsia="zh-CN" w:bidi="ar"/>
              </w:rPr>
              <w:t>NPK≥30%</w:t>
            </w:r>
            <w:r>
              <w:rPr>
                <w:rStyle w:val="9"/>
                <w:lang w:val="en-US" w:eastAsia="zh-CN" w:bidi="ar"/>
              </w:rPr>
              <w:t>（</w:t>
            </w:r>
            <w:r>
              <w:rPr>
                <w:rStyle w:val="10"/>
                <w:rFonts w:eastAsia="宋体"/>
                <w:lang w:val="en-US" w:eastAsia="zh-CN" w:bidi="ar"/>
              </w:rPr>
              <w:t>14-7-9</w:t>
            </w:r>
            <w:r>
              <w:rPr>
                <w:rStyle w:val="9"/>
                <w:lang w:val="en-US" w:eastAsia="zh-CN" w:bidi="ar"/>
              </w:rPr>
              <w:t>），有机质</w:t>
            </w:r>
            <w:r>
              <w:rPr>
                <w:rStyle w:val="10"/>
                <w:rFonts w:eastAsia="宋体"/>
                <w:lang w:val="en-US" w:eastAsia="zh-CN" w:bidi="ar"/>
              </w:rPr>
              <w:t>≥15%</w:t>
            </w:r>
            <w:r>
              <w:rPr>
                <w:rStyle w:val="12"/>
                <w:rFonts w:hAnsi="Times New Roman"/>
                <w:lang w:val="en-US" w:eastAsia="zh-CN" w:bidi="ar"/>
              </w:rPr>
              <w:t>，</w:t>
            </w:r>
            <w:r>
              <w:rPr>
                <w:rStyle w:val="9"/>
                <w:lang w:val="en-US" w:eastAsia="zh-CN" w:bidi="ar"/>
              </w:rPr>
              <w:t>国储林地力提升工程用肥，</w:t>
            </w:r>
            <w:r>
              <w:rPr>
                <w:rStyle w:val="13"/>
                <w:lang w:val="en-US" w:eastAsia="zh-CN" w:bidi="ar"/>
              </w:rPr>
              <w:t>枸溶性磷，含氯(高氯)，含氨基酸、腐殖酸、中微量元素、力源增效剂；基于土壤地力大数据+现场测土校验精准定制的智能生态配方肥；产品形态要求为圆粒或柱状颗粒；其他指标符合GBT18877-2020标准和智能型肥料企业标准。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25KG/包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3490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12.55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43799.5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1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  <w:tc>
          <w:tcPr>
            <w:tcW w:w="8930" w:type="dxa"/>
            <w:gridSpan w:val="7"/>
            <w:vAlign w:val="center"/>
          </w:tcPr>
          <w:p>
            <w:pPr>
              <w:spacing w:line="44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spacing w:line="440" w:lineRule="exact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上述商品价格已经双方确认，甲方承诺合同履行期间不能因原材料价格、生产经营成本、市场供求关系等变化要求乙方加价或以此为由停止供货。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2、甲方保证产品质量符合上述约定要求，因产品质量及标识不合格造成的损失由甲方承担，乙方提货前可预先验货，验货合格后，乙方提货后发现化肥质量问题依照本协议第8、9条处理。</w:t>
      </w:r>
    </w:p>
    <w:p>
      <w:pPr>
        <w:pStyle w:val="2"/>
        <w:spacing w:line="440" w:lineRule="exact"/>
        <w:jc w:val="both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   3、交货地点：广西境内乙方造林基地（以载货净重30吨以上车辆能到达为准），到达交货地点后视为交付已完成，货物交付之后的卸车费和转运费由乙方负责。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4、肥料包装为塑料编织袋包装，肥料外袋无破损，包装材料不计价，不回收。</w:t>
      </w:r>
    </w:p>
    <w:p>
      <w:pPr>
        <w:spacing w:line="560" w:lineRule="exact"/>
        <w:ind w:firstLine="480" w:firstLineChars="200"/>
        <w:rPr>
          <w:rFonts w:hint="default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</w:rPr>
        <w:t>5、结算方式：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先款后货，签订合同后预付总货款的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50%，六个月内支付剩下的50%。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6、甲方收到乙方发货通知后，15天内开始为乙方备货，具体供货日期由乙方提前7天通知甲方，甲方协助乙方发货、装车并记录清楚实际发货和收货数量，甲方每月10日前将上月发货和往来账等统计数据与乙方对账完毕,乙方所定购货物应原则上20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</w:rPr>
        <w:t>日前提货完毕并结算，如乙方无法提完所订货物，双方另行协商处理该批货物。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7、乙方提货时应以书面发货通知或电话、信息等形式告知甲方发货具体信息（包含发货品种、规格、数量、收货单位、收货人姓名、联系电话、收货地址、货物送达时间等内容）。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交货及验收：甲方应当将本合同列明的商品，按照约定的时间、运输方式交付到乙方指定地点。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乙方应当妥善安排工作人员在到货后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</w:rPr>
        <w:t>小时内按照本合同列明商品的种类、规格、产地、数量、包装等进行初步验收，并出具收货凭证;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8、提出异议的期限：乙方应在收货后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</w:rPr>
        <w:t xml:space="preserve"> 内将验收数量或质量不合格的情形通知甲方，乙方怠于通知的，视为数量或质量合格；甲方在收到异议后应在3个工作日内予以书面答复（书面通知中，建议明确甲方的回复时间，否则视为默认乙方提出的异议和处理意见。）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9、违约责任：若甲方不能按乙方要求的质量标准供应肥料，造成乙方不能如期用肥和误工等其他损失，应向乙方赔偿相应损失或偿付不能交货部分货款的30%的</w:t>
      </w:r>
      <w:r>
        <w:fldChar w:fldCharType="begin"/>
      </w:r>
      <w:r>
        <w:instrText xml:space="preserve"> HYPERLINK "http://baike.so.com/doc/5353031-5588490.html" \t "_blank" </w:instrText>
      </w:r>
      <w:r>
        <w:fldChar w:fldCharType="separate"/>
      </w:r>
      <w:r>
        <w:rPr>
          <w:rStyle w:val="8"/>
          <w:rFonts w:hint="eastAsia" w:ascii="仿宋" w:hAnsi="仿宋" w:eastAsia="仿宋" w:cs="仿宋"/>
          <w:color w:val="000000"/>
          <w:sz w:val="24"/>
          <w:u w:val="none"/>
        </w:rPr>
        <w:t>违约金</w:t>
      </w:r>
      <w:r>
        <w:rPr>
          <w:rStyle w:val="8"/>
          <w:rFonts w:hint="eastAsia" w:ascii="仿宋" w:hAnsi="仿宋" w:eastAsia="仿宋" w:cs="仿宋"/>
          <w:color w:val="000000"/>
          <w:sz w:val="24"/>
          <w:u w:val="none"/>
        </w:rPr>
        <w:fldChar w:fldCharType="end"/>
      </w:r>
      <w:r>
        <w:rPr>
          <w:rFonts w:hint="eastAsia" w:ascii="仿宋" w:hAnsi="仿宋" w:eastAsia="仿宋" w:cs="仿宋"/>
          <w:color w:val="000000"/>
          <w:sz w:val="24"/>
        </w:rPr>
        <w:t>。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若甲方逾期交货的，应比照中国人民银行有关延期付款的规定，按逾期交货部分货款计算，向乙方偿付逾期交货的违约金，并承担乙方因此所受的损失费用。</w:t>
      </w:r>
    </w:p>
    <w:p>
      <w:pPr>
        <w:spacing w:line="560" w:lineRule="exact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若乙方未能按合同的规定进行结算付款的，甲方可要求乙方支付未结算货款发生的资金占用费，甲乙双方参照区直林场之间资金借贷成本协商资金占用费。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000000"/>
          <w:sz w:val="24"/>
        </w:rPr>
      </w:pP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10、解决合同纠纷方式：双方如发生争议，应及时进行协商。其他未尽事宜，双方协商解决，附加合同及补充协议具同等法律效力。协商不成的，双方均有权向甲方所在地人民法院提起诉讼。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11、甲乙双方的任何一方由于不可抗力的原因不能履行合同时，应及时向对方通报不能履行或不能完全履行的理由，以减轻可能给对方造成的损失，在取得有关机构证明以后，允许延期履行、部分履行或者不履行合同，并根据情况可部分或全部免予承担违约责任。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12、按本合同规定应该偿付的违约金、赔偿金和各种经济损失的，应当在明确责任后10天内，按银行规定的结算办法付清，否则按逾期付款处理。但任何一方不得自行扣发货物或扣付货款来充抵。</w:t>
      </w:r>
    </w:p>
    <w:p>
      <w:pPr>
        <w:spacing w:line="5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13、</w:t>
      </w:r>
      <w:r>
        <w:rPr>
          <w:rFonts w:hint="eastAsia" w:ascii="仿宋" w:hAnsi="仿宋" w:eastAsia="仿宋" w:cs="仿宋"/>
          <w:sz w:val="24"/>
        </w:rPr>
        <w:t>本合同一式肆份，甲方执壹份，乙方执贰份，广西林</w:t>
      </w:r>
      <w:r>
        <w:rPr>
          <w:rFonts w:hint="eastAsia" w:ascii="仿宋" w:hAnsi="仿宋" w:eastAsia="仿宋" w:cs="仿宋"/>
          <w:sz w:val="24"/>
          <w:lang w:eastAsia="zh-CN"/>
        </w:rPr>
        <w:t>控互联网平台</w:t>
      </w:r>
      <w:r>
        <w:rPr>
          <w:rFonts w:hint="eastAsia" w:ascii="仿宋" w:hAnsi="仿宋" w:eastAsia="仿宋" w:cs="仿宋"/>
          <w:sz w:val="24"/>
        </w:rPr>
        <w:t>有限公司备案壹份，自签字之日起生效。《广西林</w:t>
      </w:r>
      <w:r>
        <w:rPr>
          <w:rFonts w:hint="eastAsia" w:ascii="仿宋" w:hAnsi="仿宋" w:eastAsia="仿宋" w:cs="仿宋"/>
          <w:sz w:val="24"/>
          <w:lang w:eastAsia="zh-CN"/>
        </w:rPr>
        <w:t>控互联网平台</w:t>
      </w:r>
      <w:r>
        <w:rPr>
          <w:rFonts w:hint="eastAsia" w:ascii="仿宋" w:hAnsi="仿宋" w:eastAsia="仿宋" w:cs="仿宋"/>
          <w:sz w:val="24"/>
        </w:rPr>
        <w:t>有限公司交易规则</w:t>
      </w:r>
      <w:r>
        <w:rPr>
          <w:rFonts w:hint="eastAsia" w:ascii="仿宋" w:hAnsi="仿宋" w:eastAsia="仿宋" w:cs="仿宋"/>
          <w:sz w:val="24"/>
          <w:lang w:eastAsia="zh-CN"/>
        </w:rPr>
        <w:t>（试行）</w:t>
      </w:r>
      <w:r>
        <w:rPr>
          <w:rFonts w:hint="eastAsia" w:ascii="仿宋" w:hAnsi="仿宋" w:eastAsia="仿宋" w:cs="仿宋"/>
          <w:sz w:val="24"/>
        </w:rPr>
        <w:t>》及本次交易公告、清单等均属本合同的有效组成部分。本合同其他未尽事宜，由合同双方友好协商解决。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。 </w:t>
      </w:r>
    </w:p>
    <w:p>
      <w:pPr>
        <w:spacing w:line="440" w:lineRule="exact"/>
        <w:rPr>
          <w:rFonts w:ascii="仿宋" w:hAnsi="仿宋" w:eastAsia="仿宋" w:cs="仿宋"/>
          <w:color w:val="000000"/>
          <w:sz w:val="24"/>
        </w:rPr>
      </w:pPr>
    </w:p>
    <w:p>
      <w:pPr>
        <w:spacing w:line="440" w:lineRule="exact"/>
        <w:rPr>
          <w:rFonts w:ascii="黑体" w:hAnsi="黑体" w:eastAsia="黑体" w:cs="仿宋_GB2312"/>
          <w:b/>
          <w:color w:val="000000"/>
          <w:sz w:val="24"/>
        </w:rPr>
      </w:pPr>
      <w:r>
        <w:rPr>
          <w:rFonts w:hint="eastAsia" w:ascii="黑体" w:hAnsi="黑体" w:eastAsia="黑体" w:cs="仿宋_GB2312"/>
          <w:b/>
          <w:color w:val="000000"/>
          <w:sz w:val="24"/>
        </w:rPr>
        <w:t xml:space="preserve">甲方（盖章）：                          </w:t>
      </w:r>
      <w:r>
        <w:rPr>
          <w:rFonts w:hint="eastAsia" w:ascii="黑体" w:hAnsi="黑体" w:eastAsia="黑体" w:cs="仿宋_GB2312"/>
          <w:b/>
          <w:color w:val="000000"/>
          <w:sz w:val="24"/>
          <w:lang w:val="en-US" w:eastAsia="zh-CN"/>
        </w:rPr>
        <w:t xml:space="preserve">   </w:t>
      </w:r>
      <w:r>
        <w:rPr>
          <w:rFonts w:hint="eastAsia" w:ascii="黑体" w:hAnsi="黑体" w:eastAsia="黑体" w:cs="仿宋_GB2312"/>
          <w:b/>
          <w:color w:val="000000"/>
          <w:sz w:val="24"/>
        </w:rPr>
        <w:t>乙方（盖章）：</w:t>
      </w:r>
    </w:p>
    <w:p>
      <w:pPr>
        <w:spacing w:line="440" w:lineRule="exact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440" w:lineRule="exac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法人代表（签章）：                          法人代表（签章）：</w:t>
      </w:r>
    </w:p>
    <w:p>
      <w:pPr>
        <w:spacing w:line="440" w:lineRule="exact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440" w:lineRule="exac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经办人：                                   经办人：</w:t>
      </w:r>
    </w:p>
    <w:p>
      <w:pPr>
        <w:spacing w:line="44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通讯地址：                                 通讯地址：</w:t>
      </w:r>
    </w:p>
    <w:p>
      <w:pPr>
        <w:spacing w:line="44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邮    编：                                 邮    编：</w:t>
      </w:r>
    </w:p>
    <w:p>
      <w:pPr>
        <w:spacing w:line="440" w:lineRule="exact"/>
        <w:ind w:left="6480" w:hanging="6480" w:hangingChars="2700"/>
        <w:rPr>
          <w:rFonts w:ascii="仿宋_GB2312" w:eastAsia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单位名称：                                 单位名称：</w:t>
      </w:r>
    </w:p>
    <w:p>
      <w:pPr>
        <w:spacing w:line="44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开 户 银行：                     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</w:rPr>
        <w:t>开户银行：</w:t>
      </w:r>
    </w:p>
    <w:p>
      <w:pPr>
        <w:spacing w:line="44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帐      号：                     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</w:rPr>
        <w:t>账    号：</w:t>
      </w:r>
    </w:p>
    <w:p>
      <w:pPr>
        <w:spacing w:line="44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传      真：                     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</w:rPr>
        <w:t>传    真：</w:t>
      </w:r>
      <w:bookmarkStart w:id="0" w:name="_Hlk519778861"/>
    </w:p>
    <w:p>
      <w:pPr>
        <w:spacing w:line="44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联系人:                          </w:t>
      </w:r>
      <w:r>
        <w:rPr>
          <w:rFonts w:hint="eastAsia" w:ascii="仿宋_GB2312" w:eastAsia="仿宋_GB2312"/>
          <w:color w:val="FF0000"/>
          <w:sz w:val="24"/>
        </w:rPr>
        <w:t xml:space="preserve">        </w:t>
      </w:r>
      <w:r>
        <w:rPr>
          <w:rFonts w:hint="eastAsia" w:ascii="仿宋_GB2312" w:eastAsia="仿宋_GB2312"/>
          <w:color w:val="FF0000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4"/>
        </w:rPr>
        <w:t>联系人：</w:t>
      </w:r>
      <w:r>
        <w:rPr>
          <w:rFonts w:hint="eastAsia" w:ascii="仿宋_GB2312" w:eastAsia="仿宋_GB2312"/>
          <w:sz w:val="24"/>
        </w:rPr>
        <w:t xml:space="preserve">                  </w:t>
      </w:r>
    </w:p>
    <w:p>
      <w:pPr>
        <w:spacing w:line="44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sz w:val="24"/>
        </w:rPr>
        <w:t xml:space="preserve">电话：                      </w:t>
      </w:r>
      <w:r>
        <w:rPr>
          <w:rFonts w:hint="eastAsia" w:ascii="仿宋_GB2312" w:eastAsia="仿宋_GB2312"/>
          <w:color w:val="FF0000"/>
          <w:sz w:val="24"/>
        </w:rPr>
        <w:t xml:space="preserve">             </w:t>
      </w:r>
      <w:r>
        <w:rPr>
          <w:rFonts w:hint="eastAsia" w:ascii="仿宋_GB2312" w:eastAsia="仿宋_GB2312"/>
          <w:color w:val="FF0000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4"/>
        </w:rPr>
        <w:t>电话：</w:t>
      </w: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</w:pPr>
      <w:r>
        <w:rPr>
          <w:rFonts w:hint="eastAsia" w:ascii="仿宋_GB2312" w:eastAsia="仿宋_GB2312"/>
          <w:sz w:val="24"/>
        </w:rPr>
        <w:t>签定日期：202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color w:val="FF0000"/>
          <w:sz w:val="24"/>
        </w:rPr>
        <w:t xml:space="preserve"> </w:t>
      </w:r>
      <w:r>
        <w:rPr>
          <w:rFonts w:hint="eastAsia" w:ascii="仿宋_GB2312" w:eastAsia="仿宋_GB2312"/>
          <w:color w:val="000000"/>
          <w:sz w:val="24"/>
        </w:rPr>
        <w:t xml:space="preserve">  月   日   </w:t>
      </w:r>
      <w:r>
        <w:rPr>
          <w:rFonts w:hint="eastAsia" w:ascii="仿宋_GB2312" w:eastAsia="仿宋_GB2312"/>
          <w:sz w:val="24"/>
        </w:rPr>
        <w:t xml:space="preserve">  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</w:rPr>
        <w:t>签订地点：</w:t>
      </w:r>
      <w:bookmarkEnd w:id="0"/>
      <w:r>
        <w:rPr>
          <w:rFonts w:hint="eastAsia"/>
        </w:rPr>
        <w:t xml:space="preserve">                                                                 </w:t>
      </w:r>
    </w:p>
    <w:p>
      <w:pPr>
        <w:spacing w:line="20" w:lineRule="exact"/>
      </w:pPr>
      <w:r>
        <w:rPr>
          <w:rFonts w:hint="eastAsia"/>
        </w:rPr>
        <w:t xml:space="preserve">                                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xOTgyZDg5MTk3ODdlMDljZmZkYzAxNGIwZDVmZWYifQ=="/>
  </w:docVars>
  <w:rsids>
    <w:rsidRoot w:val="7A366788"/>
    <w:rsid w:val="000B3EE3"/>
    <w:rsid w:val="00B732A8"/>
    <w:rsid w:val="00BA7D42"/>
    <w:rsid w:val="03543F2A"/>
    <w:rsid w:val="067274F2"/>
    <w:rsid w:val="0C4E19CF"/>
    <w:rsid w:val="11853C5A"/>
    <w:rsid w:val="1AFA6B56"/>
    <w:rsid w:val="239F7BC1"/>
    <w:rsid w:val="279A4121"/>
    <w:rsid w:val="319B2FA7"/>
    <w:rsid w:val="3DCB25D0"/>
    <w:rsid w:val="46903DD1"/>
    <w:rsid w:val="4E9203CA"/>
    <w:rsid w:val="54416B9F"/>
    <w:rsid w:val="58453C88"/>
    <w:rsid w:val="5C636ECD"/>
    <w:rsid w:val="5D754E44"/>
    <w:rsid w:val="6B1A721C"/>
    <w:rsid w:val="6F4203A5"/>
    <w:rsid w:val="7A36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font71"/>
    <w:basedOn w:val="6"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  <w:style w:type="character" w:customStyle="1" w:styleId="10">
    <w:name w:val="font61"/>
    <w:basedOn w:val="6"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1">
    <w:name w:val="font11"/>
    <w:basedOn w:val="6"/>
    <w:uiPriority w:val="0"/>
    <w:rPr>
      <w:rFonts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2">
    <w:name w:val="font81"/>
    <w:basedOn w:val="6"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0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6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1703</Words>
  <Characters>1755</Characters>
  <Lines>19</Lines>
  <Paragraphs>5</Paragraphs>
  <TotalTime>3</TotalTime>
  <ScaleCrop>false</ScaleCrop>
  <LinksUpToDate>false</LinksUpToDate>
  <CharactersWithSpaces>2520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2021-08-10T00:10:00Z</dcterms:created>
  <dc:creator>玲</dc:creator>
  <cp:lastModifiedBy>紫燕</cp:lastModifiedBy>
  <dcterms:modified xsi:type="dcterms:W3CDTF">2022-11-09T08:57:55Z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CE188AACA6ED44B39C066769571CB71C</vt:lpwstr>
  </property>
</Properties>
</file>